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6E0A">
      <w:pPr>
        <w:widowControl/>
        <w:suppressAutoHyphens w:val="0"/>
        <w:autoSpaceDE w:val="0"/>
        <w:spacing w:line="240" w:lineRule="atLeast"/>
        <w:jc w:val="center"/>
      </w:pPr>
      <w:bookmarkStart w:id="0" w:name="_GoBack"/>
      <w:bookmarkEnd w:id="0"/>
    </w:p>
    <w:p w:rsidR="00000000" w:rsidRDefault="00E8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86E0A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</w:tcPr>
          <w:p w:rsidR="00000000" w:rsidRDefault="00E86E0A">
            <w:pPr>
              <w:autoSpaceDE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технологического присоединения энергопринимающих </w:t>
            </w:r>
          </w:p>
          <w:p w:rsidR="00000000" w:rsidRDefault="00E86E0A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устройств потребителей электрической энергии </w:t>
            </w:r>
          </w:p>
          <w:p w:rsidR="00000000" w:rsidRDefault="00E86E0A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посредством перераспределения максимальной</w:t>
            </w:r>
          </w:p>
          <w:p w:rsidR="00000000" w:rsidRDefault="00E86E0A">
            <w:pPr>
              <w:pStyle w:val="ConsPlusDocList"/>
              <w:jc w:val="center"/>
            </w:pPr>
            <w:r>
              <w:t>мощности между юридическими лицами и индивидуальными</w:t>
            </w:r>
          </w:p>
          <w:p w:rsidR="00000000" w:rsidRDefault="00E86E0A">
            <w:pPr>
              <w:pStyle w:val="ConsPlusDocList"/>
              <w:snapToGrid w:val="0"/>
              <w:jc w:val="center"/>
            </w:pPr>
            <w:r>
              <w:rPr>
                <w:rFonts w:eastAsia="Arial"/>
                <w:color w:val="000000"/>
                <w:lang w:eastAsia="ru-RU"/>
              </w:rPr>
              <w:t>предпринимателям</w:t>
            </w:r>
            <w:r>
              <w:rPr>
                <w:rFonts w:eastAsia="Arial"/>
                <w:color w:val="000000"/>
                <w:lang w:eastAsia="ru-RU"/>
              </w:rPr>
              <w:t>и</w:t>
            </w:r>
          </w:p>
        </w:tc>
      </w:tr>
      <w:tr w:rsidR="00000000">
        <w:tc>
          <w:tcPr>
            <w:tcW w:w="9356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E86E0A">
            <w:pPr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наименование услуги (процесса) </w:t>
            </w:r>
          </w:p>
          <w:p w:rsidR="00000000" w:rsidRDefault="00E86E0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E86E0A">
            <w:pPr>
              <w:snapToGrid w:val="0"/>
              <w:spacing w:line="100" w:lineRule="atLeast"/>
              <w:ind w:left="-113" w:right="2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00000" w:rsidRDefault="00E86E0A">
      <w:pPr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E86E0A">
      <w:pPr>
        <w:pStyle w:val="ConsPlusDocList"/>
        <w:suppressAutoHyphens w:val="0"/>
        <w:snapToGrid w:val="0"/>
        <w:spacing w:line="100" w:lineRule="atLeast"/>
        <w:ind w:left="-113" w:right="2"/>
        <w:jc w:val="both"/>
      </w:pPr>
      <w:r>
        <w:rPr>
          <w:rFonts w:eastAsia="Arial"/>
          <w:color w:val="000000"/>
          <w:sz w:val="20"/>
          <w:szCs w:val="20"/>
          <w:lang w:eastAsia="ru-RU"/>
        </w:rPr>
        <w:t>Юридические лица и индивидуальные предприниматели (за исключением заявителей, указанных в пунктах 12(1), 13 и 14 Правил технологического присоединения энергопринимающих устройств потребителей электриче</w:t>
      </w:r>
      <w:r>
        <w:rPr>
          <w:rFonts w:eastAsia="Arial"/>
          <w:color w:val="000000"/>
          <w:sz w:val="20"/>
          <w:szCs w:val="20"/>
          <w:lang w:eastAsia="ru-RU"/>
        </w:rPr>
        <w:t>ской энергии, объектов по производству электрической энергии, а также</w:t>
      </w:r>
      <w:r>
        <w:rPr>
          <w:rFonts w:eastAsia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Arial"/>
          <w:color w:val="000000"/>
          <w:sz w:val="20"/>
          <w:szCs w:val="20"/>
          <w:lang w:eastAsia="ru-RU"/>
        </w:rPr>
        <w:t>объектов электросетевого хозяйства, принадлежащих сетевым организациям и иным лицам, к электрическим сетям, заявителей, не внесших плату за технологическое присоединение энергопринимающи</w:t>
      </w:r>
      <w:r>
        <w:rPr>
          <w:rFonts w:eastAsia="Arial"/>
          <w:color w:val="000000"/>
          <w:sz w:val="20"/>
          <w:szCs w:val="20"/>
          <w:lang w:eastAsia="ru-RU"/>
        </w:rPr>
        <w:t>х устройств либо внесших такую плату не в полном объеме),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</w:t>
      </w:r>
      <w:r>
        <w:rPr>
          <w:rFonts w:eastAsia="Arial"/>
          <w:color w:val="000000"/>
          <w:sz w:val="20"/>
          <w:szCs w:val="20"/>
          <w:lang w:eastAsia="ru-RU"/>
        </w:rPr>
        <w:t>нение к электрическим сетям.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eastAsia="Times New Roman" w:hAnsi="Times New Roman" w:cs="Times New Roman"/>
          <w:color w:val="FF0000"/>
          <w:szCs w:val="20"/>
        </w:rPr>
      </w:pP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Размер платы определяется на основании  Приказа Управления по тарифам и ценовой политике Орловской области от</w:t>
      </w:r>
      <w:r>
        <w:rPr>
          <w:rFonts w:ascii="Times New Roman" w:eastAsia="Arial" w:hAnsi="Times New Roman" w:cs="Times New Roman"/>
          <w:iCs/>
          <w:color w:val="FF0000"/>
          <w:szCs w:val="20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26.12.2019 №534-т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 xml:space="preserve"> (процесса):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и поступлении в адрес АО «Орелоблэнерго» </w:t>
      </w:r>
      <w:r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>
        <w:rPr>
          <w:rFonts w:ascii="Times New Roman" w:eastAsia="Arial" w:hAnsi="Times New Roman" w:cs="Times New Roman"/>
          <w:szCs w:val="20"/>
        </w:rPr>
        <w:t xml:space="preserve">уведомления, от лиц </w:t>
      </w:r>
      <w:r>
        <w:rPr>
          <w:rFonts w:eastAsia="Arial" w:cs="Arial"/>
          <w:szCs w:val="20"/>
        </w:rPr>
        <w:t xml:space="preserve"> </w:t>
      </w:r>
      <w:r>
        <w:rPr>
          <w:rFonts w:ascii="Times New Roman" w:eastAsia="Arial" w:hAnsi="Times New Roman" w:cs="Times New Roman"/>
          <w:szCs w:val="20"/>
        </w:rPr>
        <w:t>заключивших соглашение о перераспределении максимальной мощности между принадлежащими им энергопринимающими устройствами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Технологическое пр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исоединение энергопринимающего устройства к электрическим сетям.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E86E0A">
      <w:pPr>
        <w:pStyle w:val="ConsPlusDocList"/>
        <w:suppressAutoHyphens w:val="0"/>
        <w:snapToGrid w:val="0"/>
        <w:spacing w:line="100" w:lineRule="atLeast"/>
        <w:ind w:left="-113" w:right="2"/>
      </w:pPr>
      <w:r>
        <w:rPr>
          <w:rFonts w:eastAsia="Arial"/>
          <w:color w:val="000000"/>
          <w:sz w:val="20"/>
          <w:szCs w:val="20"/>
        </w:rPr>
        <w:t>Срок осуществления мероприятий по технологическому присоединению энергопринимающих устройств лиц, в пользу которых предполагается перераспределить макс</w:t>
      </w:r>
      <w:r>
        <w:rPr>
          <w:rFonts w:eastAsia="Arial"/>
          <w:color w:val="000000"/>
          <w:sz w:val="20"/>
          <w:szCs w:val="20"/>
        </w:rPr>
        <w:t>имальную мощность, при технологическом присоединении таких лиц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участка, на котором расположены прис</w:t>
      </w:r>
      <w:r>
        <w:rPr>
          <w:rFonts w:eastAsia="Arial"/>
          <w:color w:val="000000"/>
          <w:sz w:val="20"/>
          <w:szCs w:val="20"/>
        </w:rPr>
        <w:t>оединяемые энергопринимающие устройства,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</w:t>
      </w:r>
      <w:r>
        <w:rPr>
          <w:rFonts w:eastAsia="Arial"/>
          <w:color w:val="000000"/>
          <w:sz w:val="20"/>
          <w:szCs w:val="20"/>
        </w:rPr>
        <w:t>ительству (реконструкции) объектов электросетевого хозяйства, включенных (подлежащих включению) в инвестиционную программу сетевой организации (в том числе смежных сетевых организаций), за исключением работ по строительству объектов электросетевого хозяйст</w:t>
      </w:r>
      <w:r>
        <w:rPr>
          <w:rFonts w:eastAsia="Arial"/>
          <w:color w:val="000000"/>
          <w:sz w:val="20"/>
          <w:szCs w:val="20"/>
        </w:rPr>
        <w:t>ва от существующих объектов электросетевого хозяйства сетевой организации до присоединяемых энергопринимающих устройств потребителя и (или) объектов электроэнергетики, не может превышать:</w:t>
      </w:r>
    </w:p>
    <w:p w:rsidR="00000000" w:rsidRDefault="00E86E0A">
      <w:pPr>
        <w:pStyle w:val="ConsPlusDocList"/>
        <w:suppressAutoHyphens w:val="0"/>
        <w:snapToGrid w:val="0"/>
        <w:spacing w:line="100" w:lineRule="atLeast"/>
        <w:ind w:left="-113" w:right="2"/>
      </w:pPr>
      <w:r>
        <w:rPr>
          <w:rFonts w:eastAsia="Arial"/>
          <w:sz w:val="20"/>
          <w:szCs w:val="20"/>
        </w:rPr>
        <w:t>120 дней - для заявителей, максимальная мощность энергопринимающих у</w:t>
      </w:r>
      <w:r>
        <w:rPr>
          <w:rFonts w:eastAsia="Arial"/>
          <w:sz w:val="20"/>
          <w:szCs w:val="20"/>
        </w:rPr>
        <w:t>стройств которых составляет до 670 кВт;</w:t>
      </w:r>
    </w:p>
    <w:p w:rsidR="00000000" w:rsidRDefault="00E86E0A">
      <w:pPr>
        <w:pStyle w:val="ConsPlusDocList"/>
        <w:suppressAutoHyphens w:val="0"/>
        <w:snapToGrid w:val="0"/>
        <w:spacing w:line="100" w:lineRule="atLeast"/>
        <w:ind w:left="-113" w:right="2"/>
      </w:pPr>
      <w:r>
        <w:rPr>
          <w:rFonts w:eastAsia="Arial"/>
          <w:sz w:val="20"/>
          <w:szCs w:val="20"/>
        </w:rPr>
        <w:t>1 год - для заявителей, максимальная мощность энергопринимающих устройств которых составляет свыше 670 кВт.</w:t>
      </w:r>
    </w:p>
    <w:p w:rsidR="00000000" w:rsidRDefault="00E86E0A">
      <w:pPr>
        <w:pStyle w:val="ConsPlusDocList"/>
        <w:suppressAutoHyphens w:val="0"/>
        <w:snapToGrid w:val="0"/>
        <w:spacing w:line="100" w:lineRule="atLeast"/>
        <w:ind w:left="-113" w:right="2"/>
      </w:pPr>
      <w:r>
        <w:rPr>
          <w:rFonts w:eastAsia="Arial"/>
          <w:sz w:val="20"/>
          <w:szCs w:val="20"/>
        </w:rPr>
        <w:t>В случае если необходимо выполнить работы по строительству (реконструкции) объектов электросетевого хозяйств</w:t>
      </w:r>
      <w:r>
        <w:rPr>
          <w:rFonts w:eastAsia="Arial"/>
          <w:sz w:val="20"/>
          <w:szCs w:val="20"/>
        </w:rPr>
        <w:t>а, включенных (подлежащих включению) в инвестиционные программу АО «Орелоблэнерго» (в том числе смежных сетевых организаций), мероприятия по технологическому присоединению выполняются  в сроки, установленные пунктом 16 Правил технологического присоединения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color w:val="FF0000"/>
          <w:szCs w:val="20"/>
        </w:rPr>
      </w:pPr>
    </w:p>
    <w:p w:rsidR="00000000" w:rsidRDefault="00E86E0A">
      <w:pPr>
        <w:pStyle w:val="ConsPlusDocList"/>
        <w:ind w:firstLine="540"/>
        <w:jc w:val="both"/>
        <w:rPr>
          <w:rFonts w:eastAsia="Arial"/>
          <w:iCs/>
          <w:color w:val="FF0000"/>
          <w:sz w:val="20"/>
          <w:szCs w:val="20"/>
          <w:lang w:eastAsia="ru-RU"/>
        </w:rPr>
      </w:pP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FF0000"/>
          <w:szCs w:val="20"/>
          <w:lang w:eastAsia="ru-RU"/>
        </w:rPr>
      </w:pP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b/>
          <w:bCs/>
          <w:color w:val="FF000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408"/>
        <w:gridCol w:w="2200"/>
        <w:gridCol w:w="2332"/>
        <w:gridCol w:w="1540"/>
        <w:gridCol w:w="2275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Направление в адрес АО «Орелоблэнерго» уведомления </w:t>
            </w:r>
            <w:r>
              <w:rPr>
                <w:rFonts w:eastAsia="Arial"/>
                <w:sz w:val="20"/>
                <w:szCs w:val="20"/>
              </w:rPr>
              <w:t xml:space="preserve">от лиц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заключивших согла</w:t>
            </w:r>
            <w:r>
              <w:rPr>
                <w:rFonts w:eastAsia="Arial"/>
                <w:sz w:val="20"/>
                <w:szCs w:val="20"/>
              </w:rPr>
              <w:t xml:space="preserve">шение о перераспределении </w:t>
            </w:r>
            <w:r>
              <w:rPr>
                <w:rFonts w:eastAsia="Arial"/>
                <w:sz w:val="20"/>
                <w:szCs w:val="20"/>
              </w:rPr>
              <w:lastRenderedPageBreak/>
              <w:t>максимальной мощности между принадлежащими им энергопринимающими устройствами</w:t>
            </w:r>
          </w:p>
          <w:p w:rsidR="00000000" w:rsidRDefault="00E86E0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lastRenderedPageBreak/>
              <w:t xml:space="preserve">Рассмотрение уведомления, </w:t>
            </w:r>
            <w:r>
              <w:rPr>
                <w:sz w:val="20"/>
                <w:szCs w:val="20"/>
              </w:rPr>
              <w:t>проверка прилагаемой документации, принятие решения о дальнейшем статусе уведомления</w:t>
            </w:r>
          </w:p>
          <w:p w:rsidR="00000000" w:rsidRDefault="00E86E0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По почте, лично, или через уполномоченн</w:t>
            </w:r>
            <w:r>
              <w:rPr>
                <w:rFonts w:eastAsia="Arial"/>
                <w:color w:val="000000"/>
                <w:sz w:val="20"/>
                <w:szCs w:val="20"/>
              </w:rPr>
              <w:t>ого представителя.</w:t>
            </w:r>
          </w:p>
          <w:p w:rsidR="00000000" w:rsidRDefault="00E86E0A">
            <w:pPr>
              <w:pStyle w:val="ConsPlusDocList"/>
              <w:suppressAutoHyphens w:val="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6 рабочих дней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п. 34.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объектов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lastRenderedPageBreak/>
              <w:t>электросетевого хозяйства, принадлежащих сетевы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м организациям и иным лицам, к электрическим сетям, утв. Постановлением Правительства РФ от 27.12.2004 №861 (Далее Правила)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Заключение договора технологического присоединения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Default"/>
              <w:suppressAutoHyphens w:val="0"/>
              <w:snapToGrid w:val="0"/>
              <w:rPr>
                <w:color w:val="FF0000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  <w:rPr>
                <w:rFonts w:eastAsia="Arial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  <w:rPr>
                <w:rFonts w:ascii="Times New Roman" w:eastAsia="Arial" w:hAnsi="Times New Roman" w:cs="Times New Roman"/>
                <w:color w:val="FF0000"/>
                <w:szCs w:val="20"/>
              </w:rPr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  <w:rPr>
                <w:rFonts w:ascii="Times New Roman" w:eastAsia="Arial" w:hAnsi="Times New Roman" w:cs="Times New Roman"/>
                <w:color w:val="FF0000"/>
                <w:szCs w:val="20"/>
              </w:rPr>
            </w:pP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Направление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лицу, в пользу которого предполагается перераспределит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ь максимальную мощность</w:t>
            </w:r>
          </w:p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проекта договора технологического присоединения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Разработка технических условий и оформление типовой формы проекта договора технологического присоединения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>Вручается заявителю</w:t>
            </w:r>
          </w:p>
          <w:p w:rsidR="00000000" w:rsidRDefault="00E86E0A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>лично или направляется по почте  2 экземпляра проекта дог</w:t>
            </w:r>
            <w:r>
              <w:rPr>
                <w:sz w:val="20"/>
                <w:szCs w:val="20"/>
              </w:rPr>
              <w:t xml:space="preserve">овора и ТУ. Одновременно заявитель уведомляется о возможности временного технологического присоединения, предусмотренного разделом  </w:t>
            </w:r>
            <w:r>
              <w:rPr>
                <w:sz w:val="20"/>
                <w:szCs w:val="20"/>
                <w:lang w:val="en-US"/>
              </w:rPr>
              <w:t xml:space="preserve">VIII </w:t>
            </w:r>
            <w:r>
              <w:rPr>
                <w:sz w:val="20"/>
                <w:szCs w:val="20"/>
              </w:rPr>
              <w:t>Правил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в течение 5 дней со дня утверждения размера платы за технологическое присоединение</w:t>
            </w:r>
          </w:p>
          <w:p w:rsidR="00000000" w:rsidRDefault="00E86E0A">
            <w:pPr>
              <w:pStyle w:val="aa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Подписа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ние договора технологического присоединения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000000" w:rsidRDefault="00E86E0A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>В с</w:t>
            </w:r>
            <w:r>
              <w:rPr>
                <w:rFonts w:eastAsia="Arial"/>
                <w:color w:val="000000"/>
                <w:sz w:val="20"/>
                <w:szCs w:val="20"/>
              </w:rPr>
              <w:t>лучае несогласия с представленным АО «Орелоблэнерго» проектом договора 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</w:t>
            </w:r>
            <w:r>
              <w:rPr>
                <w:rFonts w:eastAsia="Arial"/>
                <w:color w:val="000000"/>
                <w:sz w:val="20"/>
                <w:szCs w:val="20"/>
              </w:rPr>
              <w:t>сания проекта договора с предложением об изменении представленного проекта договора и требованием о приведении его в соответствие с Правилами.</w:t>
            </w:r>
          </w:p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Указанный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мотивированный отказ направляется заявителем в сетевую организацию заказным письмом с уведомлением о вр</w:t>
            </w:r>
            <w:r>
              <w:rPr>
                <w:rFonts w:eastAsia="Arial"/>
                <w:color w:val="000000"/>
                <w:sz w:val="20"/>
                <w:szCs w:val="20"/>
              </w:rPr>
              <w:t>учении. 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 Правилами сетевая организация при</w:t>
            </w:r>
            <w:r>
              <w:rPr>
                <w:rFonts w:eastAsia="Arial"/>
                <w:color w:val="000000"/>
                <w:sz w:val="20"/>
                <w:szCs w:val="20"/>
              </w:rPr>
              <w:t>водит проект договора в соответствие с Правилами в течение 5 рабочих дней с даты получения такого требования и представляет лицу, в пользу которого предполагается перераспределить максимальную мощность новую редакцию проекта договора для подписания, а такж</w:t>
            </w:r>
            <w:r>
              <w:rPr>
                <w:rFonts w:eastAsia="Arial"/>
                <w:color w:val="000000"/>
                <w:sz w:val="20"/>
                <w:szCs w:val="20"/>
              </w:rPr>
              <w:t>е технические условия как неотъемлемое приложение к договору.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Направление заявителем в АО «Орелоблэнерго» 1 экземпляра подписанного договора технологического присоединения.</w:t>
            </w:r>
          </w:p>
          <w:p w:rsidR="00000000" w:rsidRDefault="00E86E0A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>Договор считается заключенным с даты поступления подписанного заявителем экземпляра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договора в сетевую организацию.</w:t>
            </w:r>
          </w:p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В случае ненаправления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</w:t>
            </w:r>
            <w:r>
              <w:rPr>
                <w:rFonts w:eastAsia="Arial"/>
                <w:color w:val="000000"/>
                <w:sz w:val="20"/>
                <w:szCs w:val="20"/>
              </w:rPr>
              <w:t>ехнических условий, поданная этим заявителем заявка аннулируется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в течение 30 дней с даты получения подписанного сетевой организацией проекта договора.</w:t>
            </w:r>
          </w:p>
          <w:p w:rsidR="00000000" w:rsidRDefault="00E86E0A">
            <w:pPr>
              <w:pStyle w:val="ConsPlusDocList"/>
              <w:suppressAutoHyphens w:val="0"/>
              <w:snapToGrid w:val="0"/>
              <w:rPr>
                <w:rFonts w:eastAsia="Arial"/>
                <w:color w:val="000000"/>
                <w:sz w:val="20"/>
                <w:szCs w:val="20"/>
              </w:rPr>
            </w:pPr>
          </w:p>
          <w:p w:rsidR="00000000" w:rsidRDefault="00E86E0A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 7.,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Выполнение сторонами договора мероприятий, предусмотренных договором технологичес</w:t>
            </w:r>
            <w:r>
              <w:rPr>
                <w:rFonts w:eastAsia="Arial"/>
                <w:color w:val="000000"/>
                <w:sz w:val="20"/>
                <w:szCs w:val="20"/>
              </w:rPr>
              <w:t>кого присоединения</w:t>
            </w:r>
          </w:p>
          <w:p w:rsidR="00000000" w:rsidRDefault="00E86E0A">
            <w:pPr>
              <w:pStyle w:val="aa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устройства. АО «Орелоблэнерго» исполняет указанные обязательства (в том числе в части урегулирования отношени</w:t>
            </w:r>
            <w:r>
              <w:rPr>
                <w:rFonts w:eastAsia="Arial"/>
                <w:color w:val="000000"/>
                <w:sz w:val="20"/>
                <w:szCs w:val="20"/>
              </w:rPr>
              <w:t>й с иными лицами) до границ участка, на котором расположены присоединяемые энергопринимающие устройства заявителя.</w:t>
            </w:r>
          </w:p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Лицо, заключившее соглашение о перераспределении мощности, максимальная мощность энергопринимающих устройств которого перераспределяется,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обя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лица, в пользу которого по соглашению о </w:t>
            </w:r>
            <w:r>
              <w:rPr>
                <w:rFonts w:eastAsia="Arial"/>
                <w:color w:val="000000"/>
                <w:sz w:val="20"/>
                <w:szCs w:val="20"/>
              </w:rPr>
              <w:t>перераспределении мощности перераспределяется максимальная мощность, а также выполнить следующие действия:</w:t>
            </w:r>
          </w:p>
          <w:p w:rsidR="00000000" w:rsidRDefault="00E86E0A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      </w:r>
          </w:p>
          <w:p w:rsidR="00000000" w:rsidRDefault="00E86E0A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>вн</w:t>
            </w:r>
            <w:r>
              <w:rPr>
                <w:rFonts w:eastAsia="Arial"/>
                <w:color w:val="000000"/>
                <w:sz w:val="20"/>
                <w:szCs w:val="20"/>
              </w:rPr>
              <w:t>ести изменения в документы, предусматривающие взаимодействие с сетевой организацией, и подписать документы о технологическом присоединении, фиксирующие объем максимальной мощности после ее перераспределения, в соответствии с соглашением о перераспределении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мощности.</w:t>
            </w:r>
          </w:p>
          <w:p w:rsidR="00000000" w:rsidRDefault="00E86E0A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>Сетевая организация направляет  лицу, максимальная мощность энергопринимающих устройств которого перераспределяется, информацию об изменениях, внесенных в ранее выданные ему технические условия, не позднее 10 рабочих дней со дня выдачи техническ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их условий лицу, в пользу которого перераспределяется максимальная мощность.  изменений. </w:t>
            </w:r>
          </w:p>
          <w:p w:rsidR="00000000" w:rsidRDefault="00E86E0A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При этом заключения договора между сетевой организацией и лицом, максимальная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мощность энергопринимающих устройств которого перераспределяется по соглашению о перерас</w:t>
            </w:r>
            <w:r>
              <w:rPr>
                <w:rFonts w:eastAsia="Arial"/>
                <w:color w:val="000000"/>
                <w:sz w:val="20"/>
                <w:szCs w:val="20"/>
              </w:rPr>
              <w:t>пределении мощности, не требуется.</w:t>
            </w:r>
          </w:p>
          <w:p w:rsidR="00000000" w:rsidRDefault="00E86E0A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 xml:space="preserve">Проверка выполнения заявителем и сетевой организацией технических условий в соответствии с разделом </w:t>
            </w: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IX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Правил, а также допуск к эксплуатации установленного в процессе технологического присоединения прибора учета электрич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еской энергии, включающий составление акта допуска прибора учета к эксплуатации в </w:t>
            </w:r>
            <w:r>
              <w:rPr>
                <w:rFonts w:eastAsia="Arial"/>
                <w:color w:val="000000"/>
                <w:sz w:val="20"/>
                <w:szCs w:val="20"/>
              </w:rPr>
              <w:t>порядке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, предусмотренном Основными положениями функционирования розничных рынков электрической энергии. </w:t>
            </w:r>
          </w:p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По результатам проведенной проверки  составляется акт о выполнении те</w:t>
            </w:r>
            <w:r>
              <w:rPr>
                <w:rFonts w:eastAsia="Arial"/>
                <w:color w:val="000000"/>
                <w:sz w:val="20"/>
                <w:szCs w:val="20"/>
              </w:rPr>
              <w:t>хнических условий.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suppressAutoHyphens w:val="0"/>
              <w:snapToGrid w:val="0"/>
              <w:spacing w:line="100" w:lineRule="atLeast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120 дней - для заявителей, максимальная мощность энергопринимающих устройств которых составляет до 670 кВт;</w:t>
            </w:r>
          </w:p>
          <w:p w:rsidR="00000000" w:rsidRDefault="00E86E0A">
            <w:pPr>
              <w:pStyle w:val="ConsPlusDocList"/>
              <w:suppressAutoHyphens w:val="0"/>
              <w:snapToGrid w:val="0"/>
              <w:spacing w:line="100" w:lineRule="atLeast"/>
            </w:pPr>
            <w:r>
              <w:rPr>
                <w:rFonts w:eastAsia="Arial"/>
                <w:color w:val="000000"/>
                <w:sz w:val="20"/>
                <w:szCs w:val="20"/>
              </w:rPr>
              <w:t>1 год - для заявителей, максимальная мощность энергопринимающих устройств которых составляет свыше 670 кВт.</w:t>
            </w:r>
          </w:p>
          <w:p w:rsidR="00000000" w:rsidRDefault="00E86E0A">
            <w:pPr>
              <w:suppressAutoHyphens w:val="0"/>
              <w:snapToGrid w:val="0"/>
              <w:spacing w:line="100" w:lineRule="atLeast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В случае если необход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имо выполнить работы по строительству (реконструкции) объектов электросетевого хозяйства, включенных (подлежащих включению) в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lastRenderedPageBreak/>
              <w:t>инвестиционные программу АО «Орелоблэнерго» (в том числе смежных сетевых организаций), мероприятия по технологическому присоединен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ию выполняются  в сроки, установленные пунктом 16 Правил технологического присоединения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п.16.,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37., 38.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 xml:space="preserve">Осуществление  фактического присоединения объектов заявителя к электрическим сетям и фактического приема (подачи) напряжения и мощности.  </w:t>
            </w:r>
          </w:p>
          <w:p w:rsidR="00000000" w:rsidRDefault="00E86E0A">
            <w:pPr>
              <w:suppressAutoHyphens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E86E0A">
            <w:pPr>
              <w:pStyle w:val="ConsPlusDocList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 xml:space="preserve">Выполнение комплекса технических и организационных мероприятий, обеспечивающих физическое соединение (контакт) объектов электросетевого хозяйства АО «Орелоблэнерго» и объектов заявителя (энергопринимающих устройств) и фактический прием (подача) напряжения </w:t>
            </w:r>
            <w:r>
              <w:rPr>
                <w:rFonts w:eastAsia="Arial"/>
                <w:sz w:val="20"/>
                <w:szCs w:val="20"/>
              </w:rPr>
              <w:t>и мощности, осуществляемый путем включения коммутационного аппарата (фиксация коммутационного аппарата в положении "включено").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Оформление и исполнение задания на осуществление фактического присоединения и на подачу напряжения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5 рабочих дней со д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ня  проверки выполнения ТУ, с соблюдением срока указанного в пункте 3.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18.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86E0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Составление акта об осуществлении технологического присоединения, а также акта согласования технологической и (или) аварийной брони (для заявителей, указанных в пун</w:t>
            </w:r>
            <w:r>
              <w:rPr>
                <w:rFonts w:ascii="Times New Roman" w:eastAsia="Times New Roman" w:hAnsi="Times New Roman" w:cs="Times New Roman"/>
                <w:szCs w:val="20"/>
              </w:rPr>
              <w:t>кте 14(2) Правил).</w:t>
            </w:r>
          </w:p>
          <w:p w:rsidR="00000000" w:rsidRDefault="00E86E0A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E86E0A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окончании осуществления мероприятий по технологическому присоединению стороны составляют следующие документы: акт об осуществлении технологического присоединения;</w:t>
            </w:r>
          </w:p>
          <w:p w:rsidR="00000000" w:rsidRDefault="00E86E0A">
            <w:pPr>
              <w:suppressAutoHyphens w:val="0"/>
              <w:snapToGrid w:val="0"/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По установленным типовым формам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86E0A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3 рабочих дней со дня  про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верки выполнения ТУ, с соблюдением срока указанного в пункте 3.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86E0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19. Правил</w:t>
            </w:r>
          </w:p>
        </w:tc>
      </w:tr>
    </w:tbl>
    <w:p w:rsidR="00000000" w:rsidRDefault="00E86E0A">
      <w:pPr>
        <w:suppressAutoHyphens w:val="0"/>
        <w:snapToGrid w:val="0"/>
        <w:spacing w:line="100" w:lineRule="atLeast"/>
        <w:ind w:left="-113" w:right="2"/>
      </w:pP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E86E0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E86E0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iCs/>
          <w:color w:val="FF0000"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color w:val="FF0000"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E86E0A">
            <w:pPr>
              <w:snapToGrid w:val="0"/>
              <w:spacing w:line="100" w:lineRule="atLeast"/>
              <w:jc w:val="both"/>
            </w:pPr>
          </w:p>
          <w:p w:rsidR="00000000" w:rsidRDefault="00E86E0A">
            <w:pPr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</w:p>
        </w:tc>
      </w:tr>
    </w:tbl>
    <w:p w:rsidR="00000000" w:rsidRDefault="00E86E0A"/>
    <w:p w:rsidR="00000000" w:rsidRDefault="00E86E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E86E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E86E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6E0A" w:rsidRDefault="00E86E0A">
      <w:pPr>
        <w:rPr>
          <w:color w:val="FF0000"/>
        </w:rPr>
      </w:pPr>
    </w:p>
    <w:sectPr w:rsidR="00E86E0A">
      <w:pgSz w:w="11906" w:h="16838"/>
      <w:pgMar w:top="369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1"/>
    <w:rsid w:val="00A618A1"/>
    <w:rsid w:val="00E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2020-01-30T12:36:00Z</dcterms:created>
  <dcterms:modified xsi:type="dcterms:W3CDTF">2020-01-30T12:36:00Z</dcterms:modified>
</cp:coreProperties>
</file>