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391A">
      <w:pPr>
        <w:widowControl/>
        <w:suppressAutoHyphens w:val="0"/>
        <w:autoSpaceDE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0000" w:rsidRDefault="007D391A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p w:rsidR="00000000" w:rsidRDefault="007D391A">
      <w:pPr>
        <w:jc w:val="center"/>
      </w:pPr>
      <w:r>
        <w:rPr>
          <w:rFonts w:ascii="Times New Roman" w:hAnsi="Times New Roman" w:cs="Times New Roman"/>
          <w:sz w:val="28"/>
          <w:szCs w:val="28"/>
        </w:rPr>
        <w:t>Услуга по предоставлению информации (справки) по обращению заявителя</w:t>
      </w:r>
    </w:p>
    <w:p w:rsidR="00000000" w:rsidRDefault="007D391A">
      <w:pPr>
        <w:jc w:val="center"/>
      </w:pPr>
      <w:r>
        <w:rPr>
          <w:rFonts w:ascii="Times New Roman" w:hAnsi="Times New Roman" w:cs="Times New Roman"/>
          <w:sz w:val="28"/>
          <w:szCs w:val="28"/>
        </w:rPr>
        <w:t>без выезда на объект</w:t>
      </w:r>
    </w:p>
    <w:p w:rsidR="00000000" w:rsidRDefault="007D391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000000" w:rsidRDefault="007D391A">
      <w:pPr>
        <w:widowControl/>
        <w:suppressAutoHyphens w:val="0"/>
        <w:autoSpaceDE w:val="0"/>
        <w:snapToGrid w:val="0"/>
        <w:spacing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наименование услуги (процесса) </w:t>
      </w:r>
    </w:p>
    <w:p w:rsidR="00000000" w:rsidRDefault="007D391A">
      <w:pPr>
        <w:widowControl/>
        <w:suppressAutoHyphens w:val="0"/>
        <w:autoSpaceDE w:val="0"/>
        <w:snapToGrid w:val="0"/>
        <w:spacing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</w:rPr>
        <w:t>Круг заявителей:</w:t>
      </w:r>
    </w:p>
    <w:p w:rsidR="00000000" w:rsidRDefault="007D391A">
      <w:pPr>
        <w:pStyle w:val="ConsPlusDocList"/>
        <w:suppressAutoHyphens w:val="0"/>
        <w:snapToGrid w:val="0"/>
        <w:spacing w:line="100" w:lineRule="atLeast"/>
        <w:ind w:left="-12" w:right="2"/>
      </w:pPr>
      <w:r>
        <w:rPr>
          <w:rFonts w:eastAsia="Arial"/>
          <w:color w:val="000000"/>
          <w:sz w:val="20"/>
          <w:szCs w:val="20"/>
          <w:lang w:eastAsia="ru-RU"/>
        </w:rPr>
        <w:t>Юридическое лицо, индивидуальный предприниматель.</w:t>
      </w:r>
    </w:p>
    <w:p w:rsidR="00000000" w:rsidRDefault="007D391A">
      <w:pPr>
        <w:suppressAutoHyphens w:val="0"/>
        <w:snapToGrid w:val="0"/>
        <w:spacing w:line="100" w:lineRule="atLeast"/>
        <w:ind w:left="-12" w:right="2"/>
        <w:rPr>
          <w:rFonts w:ascii="Times New Roman" w:eastAsia="Times New Roman" w:hAnsi="Times New Roman" w:cs="Times New Roman"/>
          <w:color w:val="000000"/>
          <w:szCs w:val="20"/>
        </w:rPr>
      </w:pPr>
    </w:p>
    <w:p w:rsidR="00000000" w:rsidRDefault="007D391A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7D391A">
      <w:pPr>
        <w:suppressAutoHyphens w:val="0"/>
        <w:snapToGrid w:val="0"/>
        <w:spacing w:line="100" w:lineRule="atLeast"/>
        <w:ind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Размер платы составляет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350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руб.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87 коп.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</w:t>
      </w:r>
    </w:p>
    <w:p w:rsidR="00000000" w:rsidRDefault="007D391A">
      <w:pPr>
        <w:suppressAutoHyphens w:val="0"/>
        <w:snapToGrid w:val="0"/>
        <w:spacing w:line="100" w:lineRule="atLeast"/>
        <w:ind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Основание — Граждан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ский кодекс РФ, Распоряжение АО «Орелоблэнерго» от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31.12.2019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№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40 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(калькуляция №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29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)</w:t>
      </w:r>
      <w:r>
        <w:rPr>
          <w:rFonts w:ascii="Times New Roman" w:eastAsia="Arial" w:hAnsi="Times New Roman" w:cs="Times New Roman"/>
          <w:b/>
          <w:bCs/>
          <w:color w:val="000000"/>
          <w:szCs w:val="20"/>
          <w:lang w:eastAsia="ru-RU"/>
        </w:rPr>
        <w:t>.</w:t>
      </w:r>
    </w:p>
    <w:p w:rsidR="00000000" w:rsidRDefault="007D391A">
      <w:pPr>
        <w:suppressAutoHyphens w:val="0"/>
        <w:snapToGrid w:val="0"/>
        <w:spacing w:line="100" w:lineRule="atLeast"/>
        <w:ind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7D391A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 (процесса):</w:t>
      </w:r>
    </w:p>
    <w:p w:rsidR="00000000" w:rsidRDefault="007D391A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При поступлении в адрес АО «Орелоблэнерго» обращения заявителя о предоставлении информации (справки)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.</w:t>
      </w:r>
    </w:p>
    <w:p w:rsidR="00000000" w:rsidRDefault="007D391A">
      <w:pPr>
        <w:widowControl/>
        <w:suppressAutoHyphens w:val="0"/>
        <w:autoSpaceDE w:val="0"/>
        <w:snapToGrid w:val="0"/>
        <w:spacing w:line="240" w:lineRule="atLeast"/>
        <w:ind w:left="-12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7D391A">
      <w:pPr>
        <w:suppressAutoHyphens w:val="0"/>
        <w:snapToGrid w:val="0"/>
        <w:spacing w:line="100" w:lineRule="atLeast"/>
        <w:ind w:left="-12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7D391A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Результат оказания услуги (про</w:t>
      </w: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цесса):</w:t>
      </w:r>
    </w:p>
    <w:p w:rsidR="00000000" w:rsidRDefault="007D391A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Предоставление информации (справки).</w:t>
      </w:r>
    </w:p>
    <w:p w:rsidR="00000000" w:rsidRDefault="007D391A">
      <w:pPr>
        <w:suppressAutoHyphens w:val="0"/>
        <w:snapToGrid w:val="0"/>
        <w:spacing w:line="100" w:lineRule="atLeast"/>
        <w:ind w:left="-12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7D391A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7D391A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В течении 15 дней.</w:t>
      </w:r>
    </w:p>
    <w:p w:rsidR="00000000" w:rsidRDefault="007D391A">
      <w:pPr>
        <w:suppressAutoHyphens w:val="0"/>
        <w:snapToGrid w:val="0"/>
        <w:spacing w:line="100" w:lineRule="atLeast"/>
        <w:ind w:left="-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последовательность и сроки оказания услуги (процесса):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208"/>
        <w:gridCol w:w="2643"/>
        <w:gridCol w:w="2089"/>
        <w:gridCol w:w="1120"/>
        <w:gridCol w:w="2563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Содержание/условия этапа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Ссылка на нормат</w:t>
            </w:r>
            <w:r>
              <w:rPr>
                <w:rFonts w:ascii="Times New Roman" w:hAnsi="Times New Roman" w:cs="Times New Roman"/>
                <w:color w:val="000000"/>
              </w:rPr>
              <w:t xml:space="preserve">ивный правовой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Направление обращение в сетевую организацию о предоставлении необходимой информации (справки) </w:t>
            </w:r>
          </w:p>
          <w:p w:rsidR="00000000" w:rsidRDefault="007D391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Рассмотрение обращения, </w:t>
            </w:r>
            <w:r>
              <w:rPr>
                <w:sz w:val="20"/>
                <w:szCs w:val="20"/>
              </w:rPr>
              <w:t>проверка прилагаемых документов, принятие решения о дальнейшем статусе обращения, назначение ответст</w:t>
            </w:r>
            <w:r>
              <w:rPr>
                <w:sz w:val="20"/>
                <w:szCs w:val="20"/>
              </w:rPr>
              <w:t>венного за выполнение.</w:t>
            </w:r>
          </w:p>
          <w:p w:rsidR="00000000" w:rsidRDefault="007D391A">
            <w:pPr>
              <w:pStyle w:val="aa"/>
              <w:rPr>
                <w:color w:val="000000"/>
              </w:rPr>
            </w:pP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ConsPlusNormal"/>
              <w:suppressAutoHyphens w:val="0"/>
            </w:pPr>
            <w:r>
              <w:rPr>
                <w:color w:val="000000"/>
              </w:rPr>
              <w:t>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      </w:r>
          </w:p>
          <w:p w:rsidR="00000000" w:rsidRDefault="007D391A">
            <w:pPr>
              <w:pStyle w:val="Default"/>
              <w:suppressAutoHyphens w:val="0"/>
              <w:rPr>
                <w:sz w:val="20"/>
                <w:szCs w:val="20"/>
              </w:rPr>
            </w:pPr>
          </w:p>
          <w:p w:rsidR="00000000" w:rsidRDefault="007D391A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 день обращения</w:t>
            </w:r>
          </w:p>
        </w:tc>
        <w:tc>
          <w:tcPr>
            <w:tcW w:w="256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D391A">
            <w:pPr>
              <w:pStyle w:val="aa"/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Приказ Минэнерго России от 15.04.2014 N 186 (ред. от 06.04.2015) "О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Единых стандартах качества обслуживания сетевыми организациями потребителей услуг сетевых организаций"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D39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Направление заявителю ответа на обращение содержащего необходимую информацию.</w:t>
            </w:r>
          </w:p>
        </w:tc>
        <w:tc>
          <w:tcPr>
            <w:tcW w:w="2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Работа со схемами и нормативно-технической документацией.</w:t>
            </w:r>
          </w:p>
          <w:p w:rsidR="00000000" w:rsidRDefault="007D391A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Подготовка и</w:t>
            </w:r>
            <w:r>
              <w:rPr>
                <w:rFonts w:eastAsia="Arial"/>
                <w:sz w:val="20"/>
                <w:szCs w:val="20"/>
              </w:rPr>
              <w:t xml:space="preserve"> направление заявителю ответа на обращение.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Оформление акта выполненных работ и предоставление заявителю необходимой информации (справки) на фирменном бланке общества.</w:t>
            </w:r>
          </w:p>
          <w:p w:rsidR="00000000" w:rsidRDefault="007D391A">
            <w:pPr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1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В течении 15  дней</w:t>
            </w:r>
          </w:p>
        </w:tc>
        <w:tc>
          <w:tcPr>
            <w:tcW w:w="256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D391A">
            <w:pPr>
              <w:pStyle w:val="aa"/>
              <w:suppressAutoHyphens w:val="0"/>
              <w:snapToGrid w:val="0"/>
              <w:rPr>
                <w:color w:val="000000"/>
              </w:rPr>
            </w:pPr>
          </w:p>
        </w:tc>
      </w:tr>
    </w:tbl>
    <w:p w:rsidR="00000000" w:rsidRDefault="007D391A">
      <w:pPr>
        <w:suppressAutoHyphens w:val="0"/>
        <w:snapToGrid w:val="0"/>
        <w:spacing w:line="100" w:lineRule="atLeast"/>
        <w:ind w:left="-113" w:right="2"/>
      </w:pPr>
      <w:r>
        <w:rPr>
          <w:rFonts w:eastAsia="Arial" w:cs="Arial"/>
        </w:rPr>
        <w:t xml:space="preserve">  </w:t>
      </w:r>
    </w:p>
    <w:p w:rsidR="00000000" w:rsidRDefault="007D391A">
      <w:pPr>
        <w:suppressAutoHyphens w:val="0"/>
        <w:snapToGrid w:val="0"/>
        <w:spacing w:line="100" w:lineRule="atLeast"/>
        <w:ind w:right="2"/>
      </w:pPr>
      <w:r>
        <w:rPr>
          <w:rFonts w:eastAsia="Arial" w:cs="Arial"/>
        </w:rPr>
        <w:t xml:space="preserve"> </w:t>
      </w:r>
    </w:p>
    <w:p w:rsidR="00000000" w:rsidRDefault="007D391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7D391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7D391A">
      <w:pPr>
        <w:suppressAutoHyphens w:val="0"/>
        <w:snapToGrid w:val="0"/>
        <w:spacing w:line="100" w:lineRule="atLeast"/>
        <w:ind w:left="12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Контактная информация для направления обращений:</w:t>
      </w:r>
    </w:p>
    <w:p w:rsidR="00000000" w:rsidRDefault="007D391A">
      <w:pPr>
        <w:suppressAutoHyphens w:val="0"/>
        <w:snapToGrid w:val="0"/>
        <w:spacing w:line="100" w:lineRule="atLeast"/>
        <w:ind w:left="12" w:right="2"/>
      </w:pPr>
      <w:r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 xml:space="preserve">302030 г. </w:t>
      </w:r>
      <w:r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 xml:space="preserve">Орел, пл. Поликарпова, 8, тел. (4862) 55-08-04, </w:t>
      </w:r>
      <w:r>
        <w:rPr>
          <w:rFonts w:ascii="Times New Roman" w:eastAsia="Times New Roman" w:hAnsi="Times New Roman" w:cs="Times New Roman"/>
          <w:iCs/>
          <w:sz w:val="18"/>
          <w:szCs w:val="20"/>
          <w:lang w:val="en-US" w:eastAsia="ru-RU"/>
        </w:rPr>
        <w:t>E-mail: info@oreloblenergo.ru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7D391A">
            <w:pPr>
              <w:snapToGrid w:val="0"/>
              <w:spacing w:line="100" w:lineRule="atLeast"/>
              <w:jc w:val="both"/>
            </w:pPr>
          </w:p>
          <w:p w:rsidR="00000000" w:rsidRDefault="007D391A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000000" w:rsidRDefault="007D391A"/>
    <w:p w:rsidR="00000000" w:rsidRDefault="007D391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D391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D391A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D391A"/>
    <w:p w:rsidR="00000000" w:rsidRDefault="007D391A"/>
    <w:p w:rsidR="00000000" w:rsidRDefault="007D391A"/>
    <w:p w:rsidR="00000000" w:rsidRDefault="007D391A"/>
    <w:p w:rsidR="00000000" w:rsidRDefault="007D391A">
      <w:pPr>
        <w:rPr>
          <w:rFonts w:ascii="Times New Roman" w:hAnsi="Times New Roman" w:cs="Times New Roman"/>
        </w:rPr>
      </w:pPr>
    </w:p>
    <w:p w:rsidR="007D391A" w:rsidRDefault="007D391A">
      <w:pPr>
        <w:widowControl/>
        <w:suppressAutoHyphens w:val="0"/>
        <w:autoSpaceDE w:val="0"/>
        <w:spacing w:line="240" w:lineRule="atLeast"/>
        <w:jc w:val="right"/>
        <w:rPr>
          <w:rFonts w:ascii="Times New Roman" w:hAnsi="Times New Roman" w:cs="Times New Roman"/>
        </w:rPr>
      </w:pPr>
    </w:p>
    <w:sectPr w:rsidR="007D391A">
      <w:pgSz w:w="11906" w:h="16838"/>
      <w:pgMar w:top="184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AB"/>
    <w:rsid w:val="003671AB"/>
    <w:rsid w:val="007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position w:val="0"/>
      <w:sz w:val="18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trike w:val="0"/>
      <w:dstrike w:val="0"/>
      <w:position w:val="0"/>
      <w:sz w:val="18"/>
      <w:vertAlign w:val="baseline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lang w:eastAsia="zh-C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2014-08-27T05:37:00Z</cp:lastPrinted>
  <dcterms:created xsi:type="dcterms:W3CDTF">2020-01-30T13:25:00Z</dcterms:created>
  <dcterms:modified xsi:type="dcterms:W3CDTF">2020-01-30T13:25:00Z</dcterms:modified>
</cp:coreProperties>
</file>