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7347">
      <w:pPr>
        <w:pStyle w:val="a1"/>
        <w:spacing w:before="24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выполнения технологического присоединения, этапы технологического присоединения и их сроки.</w:t>
      </w:r>
    </w:p>
    <w:p w:rsidR="00000000" w:rsidRDefault="00F67347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>Пункт 7 Правил технологического присоединения энергопринимающих устройств потребителей электрической энергии, объектов по производству электрической энер</w:t>
      </w:r>
      <w:r>
        <w:rPr>
          <w:rFonts w:ascii="Times New Roman" w:hAnsi="Times New Roman" w:cs="Times New Roman"/>
          <w:color w:val="000000"/>
          <w:sz w:val="24"/>
        </w:rPr>
        <w:t>гии, а также объектов электросетевого хозяйства, принадлежащих сетевым организациям и иным лицам, к электрическим сетям, утвержденых Постановлением Правительства РФ от 27.12.2004 № 861 (далее-Правила) устанавливает следующую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 процедуру технологического прис</w:t>
      </w:r>
      <w:r>
        <w:rPr>
          <w:rFonts w:ascii="Times New Roman" w:eastAsia="Verdana" w:hAnsi="Times New Roman" w:cs="Times New Roman"/>
          <w:color w:val="000000"/>
          <w:sz w:val="24"/>
        </w:rPr>
        <w:t>оединения:</w:t>
      </w:r>
    </w:p>
    <w:p w:rsidR="00000000" w:rsidRDefault="00F67347">
      <w:pPr>
        <w:autoSpaceDE w:val="0"/>
        <w:ind w:firstLine="540"/>
        <w:jc w:val="both"/>
      </w:pPr>
      <w:r>
        <w:rPr>
          <w:rFonts w:ascii="Times New Roman" w:eastAsia="Verdana" w:hAnsi="Times New Roman" w:cs="Times New Roman"/>
          <w:color w:val="000000"/>
          <w:sz w:val="24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предусмотренным пунктом 2  Правил;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б) заключение договора;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в) выполнение сторонами договора м</w:t>
      </w:r>
      <w:r>
        <w:rPr>
          <w:rFonts w:ascii="Times New Roman" w:hAnsi="Times New Roman" w:cs="Times New Roman"/>
          <w:color w:val="000000"/>
          <w:sz w:val="24"/>
        </w:rPr>
        <w:t>ероприятий по технологическому присоединению, предусмотренных договором;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г) 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лиц,</w:t>
      </w:r>
      <w:r>
        <w:rPr>
          <w:rFonts w:ascii="Times New Roman" w:hAnsi="Times New Roman" w:cs="Times New Roman"/>
          <w:color w:val="000000"/>
          <w:sz w:val="24"/>
        </w:rPr>
        <w:t xml:space="preserve">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пунктах 12(</w:t>
      </w:r>
      <w:r>
        <w:rPr>
          <w:rFonts w:ascii="Times New Roman" w:hAnsi="Times New Roman" w:cs="Times New Roman"/>
          <w:color w:val="000000"/>
          <w:sz w:val="24"/>
        </w:rPr>
        <w:t>1), 13 и 14  Правил, а также 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</w:t>
      </w:r>
      <w:r>
        <w:rPr>
          <w:rFonts w:ascii="Times New Roman" w:hAnsi="Times New Roman" w:cs="Times New Roman"/>
          <w:color w:val="000000"/>
          <w:sz w:val="24"/>
        </w:rPr>
        <w:t>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18(1) - 18(4) Правил не требуется;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д) осуществление сетевой организацией фактическог</w:t>
      </w:r>
      <w:r>
        <w:rPr>
          <w:rFonts w:ascii="Times New Roman" w:hAnsi="Times New Roman" w:cs="Times New Roman"/>
          <w:color w:val="000000"/>
          <w:sz w:val="24"/>
        </w:rPr>
        <w:t>о присоединения объектов заявителя к электрическим сетям и фактического приема (подачи) напряжения и мощности. Для целей  Правил под фактическим присоединением понимается комплекс технических и организационных мероприятий, обеспечивающих физическое соедине</w:t>
      </w:r>
      <w:r>
        <w:rPr>
          <w:rFonts w:ascii="Times New Roman" w:hAnsi="Times New Roman" w:cs="Times New Roman"/>
          <w:color w:val="000000"/>
          <w:sz w:val="24"/>
        </w:rPr>
        <w:t>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</w:t>
      </w:r>
      <w:r>
        <w:rPr>
          <w:rFonts w:ascii="Times New Roman" w:hAnsi="Times New Roman" w:cs="Times New Roman"/>
          <w:color w:val="000000"/>
          <w:sz w:val="24"/>
        </w:rPr>
        <w:t>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е) составление акта об осуще</w:t>
      </w:r>
      <w:r>
        <w:rPr>
          <w:rFonts w:ascii="Times New Roman" w:hAnsi="Times New Roman" w:cs="Times New Roman"/>
          <w:color w:val="000000"/>
          <w:sz w:val="24"/>
        </w:rPr>
        <w:t>ствлении технологического присоединения по форме согласно приложению N 1, а также акта согласования технологической и (или) аварийной брони (для заявителей, указанных в пункте 14(2) Правил).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Пункт 15 Правил устанавливает следующие сроки по обработке заявки</w:t>
      </w:r>
      <w:r>
        <w:rPr>
          <w:rFonts w:ascii="Times New Roman" w:hAnsi="Times New Roman" w:cs="Times New Roman"/>
          <w:color w:val="000000"/>
          <w:sz w:val="24"/>
        </w:rPr>
        <w:t xml:space="preserve"> на технологическое присоединение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15. В адрес заявителей, указанных в пунктах 12(1) и 14 Правил,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</w:t>
      </w:r>
      <w:r>
        <w:rPr>
          <w:rFonts w:ascii="Times New Roman" w:hAnsi="Times New Roman" w:cs="Times New Roman"/>
          <w:color w:val="000000"/>
          <w:sz w:val="24"/>
        </w:rPr>
        <w:t>приложение к договору в течение 15 дней со дня получения заявки от заявителя (уполномоченного представителя) или иной сетевой организации, направленной в том числе посредством официального сайта сетевой организации или иного официального сайта в информацио</w:t>
      </w:r>
      <w:r>
        <w:rPr>
          <w:rFonts w:ascii="Times New Roman" w:hAnsi="Times New Roman" w:cs="Times New Roman"/>
          <w:color w:val="000000"/>
          <w:sz w:val="24"/>
        </w:rPr>
        <w:t xml:space="preserve">нно-телекоммуникационной сети </w:t>
      </w:r>
      <w:r>
        <w:rPr>
          <w:rFonts w:ascii="Times New Roman" w:hAnsi="Times New Roman" w:cs="Times New Roman"/>
          <w:color w:val="000000"/>
          <w:sz w:val="24"/>
        </w:rPr>
        <w:lastRenderedPageBreak/>
        <w:t>"Интернет", определяемого Правительством Российской Федерации.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</w:t>
      </w:r>
      <w:r>
        <w:rPr>
          <w:rFonts w:ascii="Times New Roman" w:hAnsi="Times New Roman" w:cs="Times New Roman"/>
          <w:color w:val="000000"/>
          <w:sz w:val="24"/>
        </w:rPr>
        <w:t>договора в 2 экземплярах и технические условия (как неотъемлемое приложение к договору) в сроки, установленные пунктом 30(4) Правил.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адрес заявителей, за исключением заявителей, указанных в абзацах первом и втором настоящего пункта, сетевая организация н</w:t>
      </w:r>
      <w:r>
        <w:rPr>
          <w:rFonts w:ascii="Times New Roman" w:hAnsi="Times New Roman" w:cs="Times New Roman"/>
          <w:color w:val="000000"/>
          <w:sz w:val="24"/>
        </w:rPr>
        <w:t>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В целях временного технологического присоединения сетевая </w:t>
      </w:r>
      <w:r>
        <w:rPr>
          <w:rFonts w:ascii="Times New Roman" w:hAnsi="Times New Roman" w:cs="Times New Roman"/>
          <w:color w:val="000000"/>
          <w:sz w:val="24"/>
        </w:rPr>
        <w:t>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заявки, направленной в том ч</w:t>
      </w:r>
      <w:r>
        <w:rPr>
          <w:rFonts w:ascii="Times New Roman" w:hAnsi="Times New Roman" w:cs="Times New Roman"/>
          <w:color w:val="000000"/>
          <w:sz w:val="24"/>
        </w:rPr>
        <w:t>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Сетевая организация одновременно с направлением договора заявителю</w:t>
      </w:r>
      <w:r>
        <w:rPr>
          <w:rFonts w:ascii="Times New Roman" w:hAnsi="Times New Roman" w:cs="Times New Roman"/>
          <w:color w:val="000000"/>
          <w:sz w:val="24"/>
        </w:rPr>
        <w:t xml:space="preserve"> (за исключением заявителей, указанных в пункте 13 настоящих Правил) также уведомляет заявителя о возможности временного технологического присоединения, предусмотренного разделом VIII Правил.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При этом в случае, если в заявке в качестве вида договора, обесп</w:t>
      </w:r>
      <w:r>
        <w:rPr>
          <w:rFonts w:ascii="Times New Roman" w:hAnsi="Times New Roman" w:cs="Times New Roman"/>
          <w:color w:val="000000"/>
          <w:sz w:val="24"/>
        </w:rPr>
        <w:t>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то сетевой организацией в адрес заявителя направляется заполненный и</w:t>
      </w:r>
      <w:r>
        <w:rPr>
          <w:rFonts w:ascii="Times New Roman" w:hAnsi="Times New Roman" w:cs="Times New Roman"/>
          <w:color w:val="000000"/>
          <w:sz w:val="24"/>
        </w:rPr>
        <w:t xml:space="preserve"> подписанный в 2 экземплярах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осуществляется, неотъемлемой частью которого после завершения процедуры технолог</w:t>
      </w:r>
      <w:r>
        <w:rPr>
          <w:rFonts w:ascii="Times New Roman" w:hAnsi="Times New Roman" w:cs="Times New Roman"/>
          <w:color w:val="000000"/>
          <w:sz w:val="24"/>
        </w:rPr>
        <w:t xml:space="preserve">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энергии, определенных в Правилах недискриминационного доступа к услугам по </w:t>
      </w:r>
      <w:r>
        <w:rPr>
          <w:rFonts w:ascii="Times New Roman" w:hAnsi="Times New Roman" w:cs="Times New Roman"/>
          <w:color w:val="000000"/>
          <w:sz w:val="24"/>
        </w:rPr>
        <w:t>передаче электрической энергии и оказания этих услуг.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</w:t>
      </w:r>
      <w:r>
        <w:rPr>
          <w:rFonts w:ascii="Times New Roman" w:hAnsi="Times New Roman" w:cs="Times New Roman"/>
          <w:color w:val="000000"/>
          <w:sz w:val="24"/>
        </w:rPr>
        <w:t>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 приложению N 8 и направляется з</w:t>
      </w:r>
      <w:r>
        <w:rPr>
          <w:rFonts w:ascii="Times New Roman" w:hAnsi="Times New Roman" w:cs="Times New Roman"/>
          <w:color w:val="000000"/>
          <w:sz w:val="24"/>
        </w:rPr>
        <w:t>аявителю - физическому лицу.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догов</w:t>
      </w:r>
      <w:r>
        <w:rPr>
          <w:rFonts w:ascii="Times New Roman" w:hAnsi="Times New Roman" w:cs="Times New Roman"/>
          <w:color w:val="000000"/>
          <w:sz w:val="24"/>
        </w:rPr>
        <w:t>ор оформляется сетевой организацией в соответствии с типовым договором по форме согласно приложению N 9 и направляется заявителю - юридическому лицу или индивидуальному предпринимателю.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целях технологического присоединения энергопринимающих устройств, ма</w:t>
      </w:r>
      <w:r>
        <w:rPr>
          <w:rFonts w:ascii="Times New Roman" w:hAnsi="Times New Roman" w:cs="Times New Roman"/>
          <w:color w:val="000000"/>
          <w:sz w:val="24"/>
        </w:rPr>
        <w:t xml:space="preserve">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согласно </w:t>
      </w:r>
      <w:r>
        <w:rPr>
          <w:rFonts w:ascii="Times New Roman" w:hAnsi="Times New Roman" w:cs="Times New Roman"/>
          <w:color w:val="000000"/>
          <w:sz w:val="24"/>
        </w:rPr>
        <w:t>приложению N 10 и направляется заявителю - юридическому лицу или индивидуальному предпринимателю.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целях технологического присоединения энергопринимающих устройств, максимальная мощность которых составляет свыше 150 кВт и менее 670 кВт (за исключением слу</w:t>
      </w:r>
      <w:r>
        <w:rPr>
          <w:rFonts w:ascii="Times New Roman" w:hAnsi="Times New Roman" w:cs="Times New Roman"/>
          <w:color w:val="000000"/>
          <w:sz w:val="24"/>
        </w:rPr>
        <w:t>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</w:t>
      </w:r>
      <w:r>
        <w:rPr>
          <w:rFonts w:ascii="Times New Roman" w:hAnsi="Times New Roman" w:cs="Times New Roman"/>
          <w:color w:val="000000"/>
          <w:sz w:val="24"/>
        </w:rPr>
        <w:t>гласно приложению N 11 и направляется заявителю - юридическому лицу или индивидуальному предпринимателю.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</w:t>
      </w:r>
      <w:r>
        <w:rPr>
          <w:rFonts w:ascii="Times New Roman" w:hAnsi="Times New Roman" w:cs="Times New Roman"/>
          <w:color w:val="000000"/>
          <w:sz w:val="24"/>
        </w:rPr>
        <w:t>льцами энергопринимающих устройств (за исключением лиц, указанных в пункте 12(1) Правил, лиц, указанных в пунктах 13 и 14 настоящих Правил, лиц, присоединенных к объектам единой национальной (общероссийской) электрической сети, а также лиц, не внесших плат</w:t>
      </w:r>
      <w:r>
        <w:rPr>
          <w:rFonts w:ascii="Times New Roman" w:hAnsi="Times New Roman" w:cs="Times New Roman"/>
          <w:color w:val="000000"/>
          <w:sz w:val="24"/>
        </w:rPr>
        <w:t>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 января 2009 г. в установленном</w:t>
      </w:r>
      <w:r>
        <w:rPr>
          <w:rFonts w:ascii="Times New Roman" w:hAnsi="Times New Roman" w:cs="Times New Roman"/>
          <w:color w:val="000000"/>
          <w:sz w:val="24"/>
        </w:rPr>
        <w:t xml:space="preserve">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приложению N 12 и направляется заявителю.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При необходимости согласования технических условий</w:t>
      </w:r>
      <w:r>
        <w:rPr>
          <w:rFonts w:ascii="Times New Roman" w:hAnsi="Times New Roman" w:cs="Times New Roman"/>
          <w:color w:val="000000"/>
          <w:sz w:val="24"/>
        </w:rPr>
        <w:t xml:space="preserve"> с системным оператором в случае, предусмотренном абзацем четвертым пункта 21 настоящих Правил, указанный срок по инициативе сетевой организации может быть увеличен на срок согласования технических условий с системным оператором. В этом случае заявитель ув</w:t>
      </w:r>
      <w:r>
        <w:rPr>
          <w:rFonts w:ascii="Times New Roman" w:hAnsi="Times New Roman" w:cs="Times New Roman"/>
          <w:color w:val="000000"/>
          <w:sz w:val="24"/>
        </w:rPr>
        <w:t xml:space="preserve">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</w:t>
      </w:r>
      <w:r>
        <w:rPr>
          <w:rFonts w:ascii="Times New Roman" w:hAnsi="Times New Roman" w:cs="Times New Roman"/>
          <w:color w:val="000000"/>
          <w:sz w:val="24"/>
        </w:rPr>
        <w:t>с системным оператором, не позднее 3 рабочих дней со дня их согласования с системным оператором.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Сетевая организация в течение 3 рабочих дней рассматривает заявку, а также приложенные к ней документы и сведения и проверяет их на соответствие требованиям, у</w:t>
      </w:r>
      <w:r>
        <w:rPr>
          <w:rFonts w:ascii="Times New Roman" w:hAnsi="Times New Roman" w:cs="Times New Roman"/>
          <w:color w:val="000000"/>
          <w:sz w:val="24"/>
        </w:rPr>
        <w:t xml:space="preserve">казанным в пунктах 9, 10 и 12 - 14  Правил. При отсутствии сведений и документов, указанных в пунктах 9, 10 и 12 - 14  Правил, сетевая организация не позднее 3 рабочих дней со дня получения заявки направляет заявителю уведомление о необходимости в течение </w:t>
      </w:r>
      <w:r>
        <w:rPr>
          <w:rFonts w:ascii="Times New Roman" w:hAnsi="Times New Roman" w:cs="Times New Roman"/>
          <w:color w:val="000000"/>
          <w:sz w:val="24"/>
        </w:rPr>
        <w:t>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</w:t>
      </w:r>
      <w:r>
        <w:rPr>
          <w:rFonts w:ascii="Times New Roman" w:hAnsi="Times New Roman" w:cs="Times New Roman"/>
          <w:color w:val="000000"/>
          <w:sz w:val="24"/>
        </w:rPr>
        <w:t xml:space="preserve">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 После получения недостающих сведений от заявителя сетевая </w:t>
      </w:r>
      <w:r>
        <w:rPr>
          <w:rFonts w:ascii="Times New Roman" w:hAnsi="Times New Roman" w:cs="Times New Roman"/>
          <w:color w:val="000000"/>
          <w:sz w:val="24"/>
        </w:rPr>
        <w:t>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настоящим пунктом для соответствующе</w:t>
      </w:r>
      <w:r>
        <w:rPr>
          <w:rFonts w:ascii="Times New Roman" w:hAnsi="Times New Roman" w:cs="Times New Roman"/>
          <w:color w:val="000000"/>
          <w:sz w:val="24"/>
        </w:rPr>
        <w:t>й категории заявителя, исчисляемые со дня представления заявителем недостающих сведений.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</w:t>
      </w:r>
      <w:r>
        <w:rPr>
          <w:rFonts w:ascii="Times New Roman" w:hAnsi="Times New Roman" w:cs="Times New Roman"/>
          <w:color w:val="000000"/>
          <w:sz w:val="24"/>
        </w:rPr>
        <w:t>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В случае несогласия с представленным сетевой организацией проектом договора и (или) </w:t>
      </w:r>
      <w:r>
        <w:rPr>
          <w:rFonts w:ascii="Times New Roman" w:hAnsi="Times New Roman" w:cs="Times New Roman"/>
          <w:color w:val="000000"/>
          <w:sz w:val="24"/>
        </w:rPr>
        <w:lastRenderedPageBreak/>
        <w:t>несоответствия его настоящим Правила</w:t>
      </w:r>
      <w:r>
        <w:rPr>
          <w:rFonts w:ascii="Times New Roman" w:hAnsi="Times New Roman" w:cs="Times New Roman"/>
          <w:color w:val="000000"/>
          <w:sz w:val="24"/>
        </w:rPr>
        <w:t>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</w:t>
      </w:r>
      <w:r>
        <w:rPr>
          <w:rFonts w:ascii="Times New Roman" w:hAnsi="Times New Roman" w:cs="Times New Roman"/>
          <w:color w:val="000000"/>
          <w:sz w:val="24"/>
        </w:rPr>
        <w:t>ного проекта договора и требованием о приведении его в соответствие с настоящими Правилами.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случае ненаправления заявителем подписанн</w:t>
      </w:r>
      <w:r>
        <w:rPr>
          <w:rFonts w:ascii="Times New Roman" w:hAnsi="Times New Roman" w:cs="Times New Roman"/>
          <w:color w:val="000000"/>
          <w:sz w:val="24"/>
        </w:rPr>
        <w:t>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</w:rPr>
        <w:t>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 Правилами сетевая организация обязана</w:t>
      </w:r>
      <w:r>
        <w:rPr>
          <w:rFonts w:ascii="Times New Roman" w:hAnsi="Times New Roman" w:cs="Times New Roman"/>
          <w:color w:val="000000"/>
          <w:sz w:val="24"/>
        </w:rPr>
        <w:t xml:space="preserve"> привести проект договора в соответствие с 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При заключении договора в отношении энергопринимающих устройств, в отношении которых ранее заключенный договор с заявителем расторгнут по р</w:t>
      </w:r>
      <w:r>
        <w:rPr>
          <w:rFonts w:ascii="Times New Roman" w:hAnsi="Times New Roman" w:cs="Times New Roman"/>
          <w:color w:val="000000"/>
          <w:sz w:val="24"/>
        </w:rPr>
        <w:t>ешению суда по основанию, предусмотренному пунктом 16(5)  Правил,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</w:t>
      </w:r>
      <w:r>
        <w:rPr>
          <w:rFonts w:ascii="Times New Roman" w:hAnsi="Times New Roman" w:cs="Times New Roman"/>
          <w:color w:val="000000"/>
          <w:sz w:val="24"/>
        </w:rPr>
        <w:t>му договору.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</w:t>
      </w:r>
      <w:r>
        <w:rPr>
          <w:rFonts w:ascii="Times New Roman" w:hAnsi="Times New Roman" w:cs="Times New Roman"/>
          <w:color w:val="000000"/>
          <w:sz w:val="24"/>
        </w:rPr>
        <w:t>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</w:t>
      </w:r>
      <w:r>
        <w:rPr>
          <w:rFonts w:ascii="Times New Roman" w:hAnsi="Times New Roman" w:cs="Times New Roman"/>
          <w:color w:val="000000"/>
          <w:sz w:val="24"/>
        </w:rPr>
        <w:t>ется,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</w:t>
      </w:r>
      <w:r>
        <w:rPr>
          <w:rFonts w:ascii="Times New Roman" w:hAnsi="Times New Roman" w:cs="Times New Roman"/>
          <w:color w:val="000000"/>
          <w:sz w:val="24"/>
        </w:rPr>
        <w:t>ии, определенных в Правилах недискриминационного доступа к услугам по передаче электрической энергии и оказания этих услуг, и направляет в указанный срок этот подписанный проект договора на оказание услуг по передаче электрической энергии сетевой организац</w:t>
      </w:r>
      <w:r>
        <w:rPr>
          <w:rFonts w:ascii="Times New Roman" w:hAnsi="Times New Roman" w:cs="Times New Roman"/>
          <w:color w:val="000000"/>
          <w:sz w:val="24"/>
        </w:rPr>
        <w:t>ии с приложением к нему документов, подтверждающих полномочия лица, подписавшего такой проект договора. При этом заявитель в части тех условий, которые включены в проект договора на оказание услуг по передаче электрической энергии в виде описания исчерпыва</w:t>
      </w:r>
      <w:r>
        <w:rPr>
          <w:rFonts w:ascii="Times New Roman" w:hAnsi="Times New Roman" w:cs="Times New Roman"/>
          <w:color w:val="000000"/>
          <w:sz w:val="24"/>
        </w:rPr>
        <w:t>ющего перечня вариантов применения этих условий, вправе выбрать тот вариант из числа относящихся к этому заявителю, который он считает для себя наиболее приемлемым. При несогласии заявителя с каким-либо условием проекта договора на оказание услуг по переда</w:t>
      </w:r>
      <w:r>
        <w:rPr>
          <w:rFonts w:ascii="Times New Roman" w:hAnsi="Times New Roman" w:cs="Times New Roman"/>
          <w:color w:val="000000"/>
          <w:sz w:val="24"/>
        </w:rPr>
        <w:t>че электрической энергии, содержание которого установлено Правилами недискриминационного доступа к услугам по передаче электрической энергии и оказания этих услуг, по причине несоответствия формулировки такого условия формулировке, предусмотренной указанны</w:t>
      </w:r>
      <w:r>
        <w:rPr>
          <w:rFonts w:ascii="Times New Roman" w:hAnsi="Times New Roman" w:cs="Times New Roman"/>
          <w:color w:val="000000"/>
          <w:sz w:val="24"/>
        </w:rPr>
        <w:t xml:space="preserve">ми Правилами, либо при его несогласии с каким-либо условием договора на оказание услуг по передаче электрической энергии, содержание которого в соответствии с указанными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Правилами может быть определено по усмотрению сторон, он вправе направить в сетевую ор</w:t>
      </w:r>
      <w:r>
        <w:rPr>
          <w:rFonts w:ascii="Times New Roman" w:hAnsi="Times New Roman" w:cs="Times New Roman"/>
          <w:color w:val="000000"/>
          <w:sz w:val="24"/>
        </w:rPr>
        <w:t>ганизацию предложение о заключении договора на оказание услуг по передаче электрической энергии на иных условиях.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Договор на оказание услуг по передаче электрической энергии в отношении энергопринимающих устройств, технологическое присоединение которых осу</w:t>
      </w:r>
      <w:r>
        <w:rPr>
          <w:rFonts w:ascii="Times New Roman" w:hAnsi="Times New Roman" w:cs="Times New Roman"/>
          <w:color w:val="000000"/>
          <w:sz w:val="24"/>
        </w:rPr>
        <w:t>ществляется, считается заключенным с сетевой организацией с даты поступления подписанного заявителем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</w:t>
      </w:r>
      <w:r>
        <w:rPr>
          <w:rFonts w:ascii="Times New Roman" w:hAnsi="Times New Roman" w:cs="Times New Roman"/>
          <w:color w:val="000000"/>
          <w:sz w:val="24"/>
        </w:rPr>
        <w:t>м указанных энергопринимающих устройств.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15(1).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рынка, указанного в заявке, с котор</w:t>
      </w:r>
      <w:r>
        <w:rPr>
          <w:rFonts w:ascii="Times New Roman" w:hAnsi="Times New Roman" w:cs="Times New Roman"/>
          <w:color w:val="000000"/>
          <w:sz w:val="24"/>
        </w:rPr>
        <w:t xml:space="preserve">ым заявитель намеревается заключить договор 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осуществляется, копию подписанного с заявителем договора </w:t>
      </w:r>
      <w:r>
        <w:rPr>
          <w:rFonts w:ascii="Times New Roman" w:hAnsi="Times New Roman" w:cs="Times New Roman"/>
          <w:color w:val="000000"/>
          <w:sz w:val="24"/>
        </w:rPr>
        <w:t>и копии документов заявителя, предусмотренных пунктом 10 Правил, имеющихся у сетевой организации на дату направления, а также копию заявки о технологическом присоединении соответствующих энергопринимающих устройств, в которой указан гарантирующий поставщик</w:t>
      </w:r>
      <w:r>
        <w:rPr>
          <w:rFonts w:ascii="Times New Roman" w:hAnsi="Times New Roman" w:cs="Times New Roman"/>
          <w:color w:val="000000"/>
          <w:sz w:val="24"/>
        </w:rPr>
        <w:t xml:space="preserve"> или энергосбытовая (энергоснабжающая) организация в качестве субъекта розничного рынка, с которым заявитель намеревается заключить соответствующий договор.</w:t>
      </w:r>
    </w:p>
    <w:p w:rsidR="00000000" w:rsidRDefault="00F67347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</w:rPr>
        <w:t>Подпункт «б» Пункта 16 Правил устанавливает следующие сроки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осуществления мероприятий по техн</w:t>
      </w:r>
      <w:r>
        <w:rPr>
          <w:rFonts w:ascii="Times New Roman" w:eastAsia="Arial" w:hAnsi="Times New Roman" w:cs="Times New Roman"/>
          <w:color w:val="000000"/>
          <w:sz w:val="24"/>
        </w:rPr>
        <w:t>ологическому присоединению:</w:t>
      </w:r>
    </w:p>
    <w:p w:rsidR="00000000" w:rsidRDefault="00F673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eastAsia="Arial" w:hAnsi="Times New Roman" w:cs="Times New Roman"/>
          <w:color w:val="000000"/>
          <w:sz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</w:t>
      </w:r>
      <w:r>
        <w:rPr>
          <w:rFonts w:ascii="Times New Roman" w:eastAsia="Arial" w:hAnsi="Times New Roman" w:cs="Times New Roman"/>
          <w:color w:val="000000"/>
          <w:sz w:val="24"/>
        </w:rPr>
        <w:t>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</w:t>
      </w:r>
      <w:r>
        <w:rPr>
          <w:rFonts w:ascii="Times New Roman" w:eastAsia="Arial" w:hAnsi="Times New Roman" w:cs="Times New Roman"/>
          <w:color w:val="000000"/>
          <w:sz w:val="24"/>
        </w:rPr>
        <w:t>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</w:t>
      </w:r>
      <w:r>
        <w:rPr>
          <w:rFonts w:ascii="Times New Roman" w:eastAsia="Arial" w:hAnsi="Times New Roman" w:cs="Times New Roman"/>
          <w:color w:val="000000"/>
          <w:sz w:val="24"/>
        </w:rPr>
        <w:t>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15 рабочих дней (если в заявке не указан более продолжительный срок) для осуществл</w:t>
      </w:r>
      <w:r>
        <w:rPr>
          <w:rFonts w:ascii="Times New Roman" w:hAnsi="Times New Roman" w:cs="Times New Roman"/>
          <w:color w:val="000000"/>
          <w:sz w:val="24"/>
        </w:rPr>
        <w:t>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4 месяца - для заявителей, максимальная мощность энергопринимающих устройств которых составляет до 670 кВт вкл</w:t>
      </w:r>
      <w:r>
        <w:rPr>
          <w:rFonts w:ascii="Times New Roman" w:hAnsi="Times New Roman" w:cs="Times New Roman"/>
          <w:color w:val="000000"/>
          <w:sz w:val="24"/>
        </w:rPr>
        <w:t>ючительно;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1 год - для заявителей, максимальная мощность энергопринимающих устройств которых составляет свыше 670 кВт;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 иных случаях: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15 рабочих дней (если в заявке не указан более продолжительный срок) - при временном технологическом присоединении заявит</w:t>
      </w:r>
      <w:r>
        <w:rPr>
          <w:rFonts w:ascii="Times New Roman" w:hAnsi="Times New Roman" w:cs="Times New Roman"/>
          <w:color w:val="000000"/>
          <w:sz w:val="24"/>
        </w:rPr>
        <w:t>елей, энергопринимающие устройства которых являются передвижными и имеют максимальную мощность до 150 кВт включительно, если расстояние от энергопринимающего устройства заявителя до существующих электрических сетей необходимого класса напряжения составляет</w:t>
      </w:r>
      <w:r>
        <w:rPr>
          <w:rFonts w:ascii="Times New Roman" w:hAnsi="Times New Roman" w:cs="Times New Roman"/>
          <w:color w:val="000000"/>
          <w:sz w:val="24"/>
        </w:rPr>
        <w:t xml:space="preserve"> не более 300 метров;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6 месяцев - для заявителей, указанных в пунктах 12(1), 14 и 34 Правил, если </w:t>
      </w:r>
      <w:r>
        <w:rPr>
          <w:rFonts w:ascii="Times New Roman" w:hAnsi="Times New Roman" w:cs="Times New Roman"/>
          <w:color w:val="000000"/>
          <w:sz w:val="24"/>
        </w:rPr>
        <w:lastRenderedPageBreak/>
        <w:t>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</w:t>
      </w:r>
      <w:r>
        <w:rPr>
          <w:rFonts w:ascii="Times New Roman" w:hAnsi="Times New Roman" w:cs="Times New Roman"/>
          <w:color w:val="000000"/>
          <w:sz w:val="24"/>
        </w:rPr>
        <w:t>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</w:t>
      </w:r>
      <w:r>
        <w:rPr>
          <w:rFonts w:ascii="Times New Roman" w:hAnsi="Times New Roman" w:cs="Times New Roman"/>
          <w:color w:val="000000"/>
          <w:sz w:val="24"/>
        </w:rPr>
        <w:t>стности;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1 год - 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</w:t>
      </w:r>
      <w:r>
        <w:rPr>
          <w:rFonts w:ascii="Times New Roman" w:hAnsi="Times New Roman" w:cs="Times New Roman"/>
          <w:color w:val="000000"/>
          <w:sz w:val="24"/>
        </w:rPr>
        <w:t>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2 года - для заявителей, максимальная мощность энергопринимающих устройств которых составляет не менее 670 кВт, в том числе при т</w:t>
      </w:r>
      <w:r>
        <w:rPr>
          <w:rFonts w:ascii="Times New Roman" w:hAnsi="Times New Roman" w:cs="Times New Roman"/>
          <w:color w:val="000000"/>
          <w:sz w:val="24"/>
        </w:rPr>
        <w:t>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</w:t>
      </w:r>
      <w:r>
        <w:rPr>
          <w:rFonts w:ascii="Times New Roman" w:hAnsi="Times New Roman" w:cs="Times New Roman"/>
          <w:color w:val="000000"/>
          <w:sz w:val="24"/>
        </w:rPr>
        <w:t>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</w:t>
      </w:r>
      <w:r>
        <w:rPr>
          <w:rFonts w:ascii="Times New Roman" w:hAnsi="Times New Roman" w:cs="Times New Roman"/>
          <w:color w:val="000000"/>
          <w:sz w:val="24"/>
        </w:rPr>
        <w:t>и.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лет). В случае заключения сетевой организацией договора</w:t>
      </w:r>
      <w:r>
        <w:rPr>
          <w:rFonts w:ascii="Times New Roman" w:hAnsi="Times New Roman" w:cs="Times New Roman"/>
          <w:color w:val="000000"/>
          <w:sz w:val="24"/>
        </w:rPr>
        <w:t xml:space="preserve"> со смежной сетевой организацией в соответствии с требованиями пункта 41  Правил срок осуществления мероприятий по технологическому присоединению определяется в порядке, установленном настоящими Правилами;</w:t>
      </w:r>
    </w:p>
    <w:p w:rsidR="00000000" w:rsidRDefault="00F67347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000000" w:rsidRDefault="00F67347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</w:rPr>
        <w:t>В соответствии с пунктом 18 Правил,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 меропр</w:t>
      </w:r>
      <w:r>
        <w:rPr>
          <w:rFonts w:ascii="Times New Roman" w:eastAsia="Verdana" w:hAnsi="Times New Roman" w:cs="Times New Roman"/>
          <w:color w:val="000000"/>
          <w:sz w:val="24"/>
        </w:rPr>
        <w:t>иятия по технологическому присоединению включают в себя:</w:t>
      </w:r>
    </w:p>
    <w:p w:rsidR="00000000" w:rsidRDefault="00F67347">
      <w:pPr>
        <w:suppressAutoHyphens w:val="0"/>
        <w:autoSpaceDE w:val="0"/>
        <w:ind w:firstLine="540"/>
        <w:jc w:val="both"/>
      </w:pPr>
      <w:r>
        <w:rPr>
          <w:rFonts w:ascii="Times New Roman" w:eastAsia="Verdana" w:hAnsi="Times New Roman" w:cs="Times New Roman"/>
          <w:color w:val="000000"/>
          <w:sz w:val="24"/>
        </w:rPr>
        <w:t xml:space="preserve"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</w:t>
      </w:r>
      <w:r>
        <w:rPr>
          <w:rFonts w:ascii="Times New Roman" w:eastAsia="Verdana" w:hAnsi="Times New Roman" w:cs="Times New Roman"/>
          <w:color w:val="000000"/>
          <w:sz w:val="24"/>
        </w:rPr>
        <w:t>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 со смежными сетевыми организациями;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в) разработку заявителем проектной документации в границах его земельного участка согласно обяза</w:t>
      </w:r>
      <w:r>
        <w:rPr>
          <w:rFonts w:ascii="Times New Roman" w:hAnsi="Times New Roman" w:cs="Times New Roman"/>
          <w:color w:val="000000"/>
          <w:sz w:val="24"/>
        </w:rPr>
        <w:t>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г) выполнение заявителем и</w:t>
      </w:r>
      <w:r>
        <w:rPr>
          <w:rFonts w:ascii="Times New Roman" w:hAnsi="Times New Roman" w:cs="Times New Roman"/>
          <w:color w:val="000000"/>
          <w:sz w:val="24"/>
        </w:rPr>
        <w:t xml:space="preserve"> сетевой организацией технических условий, включая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</w:t>
      </w:r>
      <w:r>
        <w:rPr>
          <w:rFonts w:ascii="Times New Roman" w:hAnsi="Times New Roman" w:cs="Times New Roman"/>
          <w:color w:val="000000"/>
          <w:sz w:val="24"/>
        </w:rPr>
        <w:t>анизацией требований по созданию 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систем, утвержденными постановлением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4"/>
        </w:rPr>
        <w:t xml:space="preserve">едерации от 13 августа </w:t>
      </w:r>
      <w:r>
        <w:rPr>
          <w:rFonts w:ascii="Times New Roman" w:hAnsi="Times New Roman" w:cs="Times New Roman"/>
          <w:color w:val="000000"/>
          <w:sz w:val="24"/>
        </w:rPr>
        <w:lastRenderedPageBreak/>
        <w:t>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</w:t>
      </w:r>
      <w:r>
        <w:rPr>
          <w:rFonts w:ascii="Times New Roman" w:hAnsi="Times New Roman" w:cs="Times New Roman"/>
          <w:color w:val="000000"/>
          <w:sz w:val="24"/>
        </w:rPr>
        <w:t>оэнергетических систем);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д) проверку выполнения заявителем и сетевой организацией технических условий в соответствии с разделом IX Правил;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д(1)) выполнение мероприятий по вводу объектов электроэнергетики заявителя, сетевой организации и иных лиц, построенн</w:t>
      </w:r>
      <w:r>
        <w:rPr>
          <w:rFonts w:ascii="Times New Roman" w:hAnsi="Times New Roman" w:cs="Times New Roman"/>
          <w:color w:val="000000"/>
          <w:sz w:val="24"/>
        </w:rPr>
        <w:t>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</w:t>
      </w:r>
      <w:r>
        <w:rPr>
          <w:rFonts w:ascii="Times New Roman" w:hAnsi="Times New Roman" w:cs="Times New Roman"/>
          <w:color w:val="000000"/>
          <w:sz w:val="24"/>
        </w:rPr>
        <w:t>ия в работу в составе электроэнергетической системы в соответствии с Правилами технологического функционирования электроэнергетических систем.</w:t>
      </w:r>
    </w:p>
    <w:p w:rsidR="00000000" w:rsidRDefault="00F673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6734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Правил, Стороны составляют акт об осуществлении технологического присоединения по фо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рме, предусмотренной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приложением N 1 к Правилам, 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</w:t>
      </w:r>
      <w:r>
        <w:rPr>
          <w:rFonts w:ascii="Times New Roman" w:hAnsi="Times New Roman" w:cs="Times New Roman"/>
          <w:color w:val="000000"/>
          <w:sz w:val="24"/>
          <w:szCs w:val="24"/>
        </w:rPr>
        <w:t>одачи) напряжения и мощности.</w:t>
      </w:r>
    </w:p>
    <w:p w:rsidR="00000000" w:rsidRDefault="00F67347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пунктом 14(2) Правил.</w:t>
      </w:r>
    </w:p>
    <w:p w:rsidR="00000000" w:rsidRDefault="00F67347">
      <w:pPr>
        <w:autoSpaceDE w:val="0"/>
        <w:ind w:firstLine="540"/>
        <w:jc w:val="both"/>
        <w:rPr>
          <w:rFonts w:ascii="Times New Roman" w:eastAsia="Verdana" w:hAnsi="Times New Roman" w:cs="Times New Roman"/>
          <w:color w:val="000000"/>
          <w:sz w:val="24"/>
        </w:rPr>
      </w:pPr>
    </w:p>
    <w:p w:rsidR="00F67347" w:rsidRDefault="00F673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0"/>
      <w:bookmarkStart w:id="2" w:name="Par2"/>
      <w:bookmarkStart w:id="3" w:name="Par41"/>
      <w:bookmarkStart w:id="4" w:name="Par6"/>
      <w:bookmarkStart w:id="5" w:name="Par3"/>
      <w:bookmarkStart w:id="6" w:name="Par12"/>
      <w:bookmarkStart w:id="7" w:name="Par1"/>
      <w:bookmarkEnd w:id="1"/>
      <w:bookmarkEnd w:id="2"/>
      <w:bookmarkEnd w:id="3"/>
      <w:bookmarkEnd w:id="4"/>
      <w:bookmarkEnd w:id="5"/>
      <w:bookmarkEnd w:id="6"/>
      <w:bookmarkEnd w:id="7"/>
    </w:p>
    <w:sectPr w:rsidR="00F67347">
      <w:pgSz w:w="11906" w:h="16838"/>
      <w:pgMar w:top="1134" w:right="1134" w:bottom="8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D"/>
    <w:rsid w:val="009E5DDD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ind w:left="0" w:firstLine="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Verdana" w:eastAsia="Verdana" w:hAnsi="Verdana" w:cs="Verdana"/>
      <w:sz w:val="18"/>
      <w:szCs w:val="18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ind w:left="0" w:firstLine="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Verdana" w:eastAsia="Verdana" w:hAnsi="Verdana" w:cs="Verdana"/>
      <w:sz w:val="18"/>
      <w:szCs w:val="18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27.12.2019)"Об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/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27.12.2019)"Об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</dc:title>
  <dc:creator>LK</dc:creator>
  <cp:lastModifiedBy>LK</cp:lastModifiedBy>
  <cp:revision>2</cp:revision>
  <cp:lastPrinted>1601-01-01T00:00:00Z</cp:lastPrinted>
  <dcterms:created xsi:type="dcterms:W3CDTF">2020-02-17T14:41:00Z</dcterms:created>
  <dcterms:modified xsi:type="dcterms:W3CDTF">2020-02-17T14:41:00Z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