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661C">
      <w:pPr>
        <w:pStyle w:val="ConsPlusNormal"/>
      </w:pPr>
      <w:bookmarkStart w:id="0" w:name="_GoBack"/>
      <w:bookmarkEnd w:id="0"/>
      <w:r>
        <w:rPr>
          <w:rFonts w:ascii="Tahoma" w:hAnsi="Tahoma"/>
          <w:sz w:val="20"/>
        </w:rPr>
        <w:t xml:space="preserve">Документ предоставлен </w:t>
      </w:r>
      <w:hyperlink r:id="rId5" w:history="1">
        <w:r>
          <w:rPr>
            <w:rStyle w:val="a3"/>
            <w:rFonts w:ascii="Tahoma" w:hAnsi="Tahoma"/>
            <w:color w:val="0000FF"/>
            <w:sz w:val="20"/>
          </w:rPr>
          <w:t>КонсультантПлюс</w:t>
        </w:r>
      </w:hyperlink>
      <w:r>
        <w:br/>
      </w:r>
    </w:p>
    <w:p w:rsidR="00000000" w:rsidRDefault="000C661C">
      <w:pPr>
        <w:pStyle w:val="ConsPlusNormal"/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6"/>
      </w:tblGrid>
      <w:tr w:rsidR="00000000">
        <w:tc>
          <w:tcPr>
            <w:tcW w:w="4677" w:type="dxa"/>
            <w:shd w:val="clear" w:color="auto" w:fill="auto"/>
          </w:tcPr>
          <w:p w:rsidR="00000000" w:rsidRDefault="000C661C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6" w:type="dxa"/>
            <w:shd w:val="clear" w:color="auto" w:fill="auto"/>
          </w:tcPr>
          <w:p w:rsidR="00000000" w:rsidRDefault="000C661C">
            <w:pPr>
              <w:pStyle w:val="ConsPlusNormal"/>
              <w:jc w:val="right"/>
            </w:pPr>
            <w:r>
              <w:t>N 471-ФЗ</w:t>
            </w:r>
          </w:p>
        </w:tc>
      </w:tr>
    </w:tbl>
    <w:p w:rsidR="00000000" w:rsidRDefault="000C661C">
      <w:pPr>
        <w:pStyle w:val="ConsPlusNormal"/>
        <w:pBdr>
          <w:top w:val="single" w:sz="6" w:space="0" w:color="000001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  <w:rPr>
          <w:sz w:val="0"/>
        </w:rPr>
      </w:pP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jc w:val="center"/>
      </w:pPr>
      <w:r>
        <w:rPr>
          <w:b/>
        </w:rPr>
        <w:t>РОССИЙСКАЯ ФЕДЕРАЦИЯ</w:t>
      </w:r>
    </w:p>
    <w:p w:rsidR="00000000" w:rsidRDefault="000C661C">
      <w:pPr>
        <w:pStyle w:val="ConsPlusNormal"/>
        <w:jc w:val="center"/>
        <w:rPr>
          <w:b/>
        </w:rPr>
      </w:pPr>
    </w:p>
    <w:p w:rsidR="00000000" w:rsidRDefault="000C661C">
      <w:pPr>
        <w:pStyle w:val="ConsPlusNormal"/>
        <w:jc w:val="center"/>
      </w:pPr>
      <w:r>
        <w:rPr>
          <w:b/>
        </w:rPr>
        <w:t>ФЕДЕРАЛЬНЫЙ ЗАКОН</w:t>
      </w:r>
    </w:p>
    <w:p w:rsidR="00000000" w:rsidRDefault="000C661C">
      <w:pPr>
        <w:pStyle w:val="ConsPlusNormal"/>
        <w:ind w:firstLine="540"/>
        <w:jc w:val="both"/>
        <w:rPr>
          <w:b/>
        </w:rPr>
      </w:pPr>
    </w:p>
    <w:p w:rsidR="00000000" w:rsidRDefault="000C661C">
      <w:pPr>
        <w:pStyle w:val="ConsPlusNormal"/>
        <w:jc w:val="center"/>
      </w:pPr>
      <w:r>
        <w:rPr>
          <w:b/>
        </w:rPr>
        <w:t>О ВНЕСЕНИИ ИЗМЕНЕНИЙ</w:t>
      </w:r>
    </w:p>
    <w:p w:rsidR="00000000" w:rsidRDefault="000C661C">
      <w:pPr>
        <w:pStyle w:val="ConsPlusNormal"/>
        <w:jc w:val="center"/>
      </w:pPr>
      <w:r>
        <w:rPr>
          <w:b/>
        </w:rPr>
        <w:t>В ФЕДЕРАЛЬНЫЙ ЗАКОН "ОБ ЭЛЕКТРОЭНЕРГЕТИКЕ" В ЧАСТИ</w:t>
      </w:r>
    </w:p>
    <w:p w:rsidR="00000000" w:rsidRDefault="000C661C">
      <w:pPr>
        <w:pStyle w:val="ConsPlusNormal"/>
        <w:jc w:val="center"/>
      </w:pPr>
      <w:r>
        <w:rPr>
          <w:b/>
        </w:rPr>
        <w:t>РАЗВИТИЯ МИКРОГЕНЕРАЦИИ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jc w:val="right"/>
      </w:pPr>
      <w:r>
        <w:t>При</w:t>
      </w:r>
      <w:r>
        <w:t>нят</w:t>
      </w:r>
    </w:p>
    <w:p w:rsidR="00000000" w:rsidRDefault="000C661C">
      <w:pPr>
        <w:pStyle w:val="ConsPlusNormal"/>
        <w:jc w:val="right"/>
      </w:pPr>
      <w:r>
        <w:t>Государственной Думой</w:t>
      </w:r>
    </w:p>
    <w:p w:rsidR="00000000" w:rsidRDefault="000C661C">
      <w:pPr>
        <w:pStyle w:val="ConsPlusNormal"/>
        <w:jc w:val="right"/>
      </w:pPr>
      <w:r>
        <w:t>11 декабря 2019 года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jc w:val="right"/>
      </w:pPr>
      <w:r>
        <w:t>Одобрен</w:t>
      </w:r>
    </w:p>
    <w:p w:rsidR="00000000" w:rsidRDefault="000C661C">
      <w:pPr>
        <w:pStyle w:val="ConsPlusNormal"/>
        <w:jc w:val="right"/>
      </w:pPr>
      <w:r>
        <w:t>Советом Федерации</w:t>
      </w:r>
    </w:p>
    <w:p w:rsidR="00000000" w:rsidRDefault="000C661C">
      <w:pPr>
        <w:pStyle w:val="ConsPlusNormal"/>
        <w:jc w:val="right"/>
      </w:pPr>
      <w:r>
        <w:t>23 декабря 2019 года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ind w:firstLine="540"/>
        <w:jc w:val="both"/>
      </w:pPr>
      <w:r>
        <w:rPr>
          <w:b/>
        </w:rPr>
        <w:t>Статья 1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rStyle w:val="a3"/>
            <w:color w:val="0000FF"/>
          </w:rPr>
          <w:t>закон</w:t>
        </w:r>
      </w:hyperlink>
      <w:r>
        <w:t xml:space="preserve"> от 26 марта 2003 года N 35-ФЗ "Об электроэнергетике" (Собрание законодательства Российской Федерации, 2003, N 13, ст. 1177; 2007, N 45, ст. 5427; 2008, N 52, ст. 6236; 2010, N 31, ст. 4156, 4160; 2011, N 30, ст. 4596; N 50, ст. 7336, 7343</w:t>
      </w:r>
      <w:r>
        <w:t xml:space="preserve">; 2012, N 53, ст. 7616; 2013, N 45, ст. 5797; 2014, N 16, ст. 1840; 2015, N 1, ст. 19; N 45, ст. 6208; 2016, N 1, ст. 70; N 26, ст. 3865; N 27, ст. 4201; 2017, N 1, ст. 49; N 27, ст. 3926; N 31, ст. 4822; 2018, N 1, ст. 35; N 27, ст. 3955; N 31, ст. 4843; </w:t>
      </w:r>
      <w:r>
        <w:t>N 53, ст. 8448; 2019, N 31, ст. 4421, 4459) следующие изменения: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1) </w:t>
      </w:r>
      <w:hyperlink r:id="rId7" w:history="1">
        <w:r>
          <w:rPr>
            <w:rStyle w:val="a3"/>
            <w:color w:val="0000FF"/>
          </w:rPr>
          <w:t>статью 3</w:t>
        </w:r>
      </w:hyperlink>
      <w:r>
        <w:t xml:space="preserve"> дополнить абзаце</w:t>
      </w:r>
      <w:r>
        <w:t>м следующего содержания: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"объект микрогенерации - объект по производству электрической энергии, принадлежащий на праве собственности или ином законном основании потребителю электрической энергии, энергопринимающие устройства которого технологически присоед</w:t>
      </w:r>
      <w:r>
        <w:t>инены к объектам электросетевого хозяйства с уровнем напряжения до 1000 вольт, функционирующий в том числе на основе использования возобновляемых источников энергии и используемый указанным потребителем для производства электрической энергии в целях удовле</w:t>
      </w:r>
      <w:r>
        <w:t>творения собственных бытовых и (или) производственных нужд, а также в целях продажи в порядке, установленном основными положениями функционирования розничных рынков, в случае, если объем выдачи электрической энергии таким объектом по производству электриче</w:t>
      </w:r>
      <w:r>
        <w:t>ской энергии в электрическую сеть не превышает величину максимальной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</w:t>
      </w:r>
      <w:r>
        <w:t xml:space="preserve"> используется электрическое оборудование, предназначенное для обслуживания более одного помещения в здании, в том числе входящее в состав общего имущества многоквартирного дома.";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2) в </w:t>
      </w:r>
      <w:hyperlink r:id="rId8" w:history="1">
        <w:r>
          <w:rPr>
            <w:rStyle w:val="a3"/>
            <w:color w:val="0000FF"/>
          </w:rPr>
          <w:t>абзаце девятом пункта 8.1 статьи 23.1</w:t>
        </w:r>
      </w:hyperlink>
      <w:r>
        <w:t xml:space="preserve"> слова "до 1 января 2020 года" заменить словами "до 1 января 2021 года";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3) </w:t>
      </w:r>
      <w:hyperlink r:id="rId9" w:history="1">
        <w:r>
          <w:rPr>
            <w:rStyle w:val="a3"/>
            <w:color w:val="0000FF"/>
          </w:rPr>
          <w:t>абзац десятый пункта 2 статьи 23.2</w:t>
        </w:r>
      </w:hyperlink>
      <w:r>
        <w:t xml:space="preserve"> после слов "платы за технологическое присоединение" дополнить словами "объектов микрогенерации и";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4) </w:t>
      </w:r>
      <w:hyperlink r:id="rId10" w:history="1">
        <w:r>
          <w:rPr>
            <w:rStyle w:val="a3"/>
            <w:color w:val="0000FF"/>
          </w:rPr>
          <w:t>абзац первый пункта 7 статьи 25</w:t>
        </w:r>
      </w:hyperlink>
      <w:r>
        <w:t xml:space="preserve"> после слов "физических лиц" дополнить словами ", собственников и иных законных в</w:t>
      </w:r>
      <w:r>
        <w:t>ладельцев объектов микрогенерации";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5) в </w:t>
      </w:r>
      <w:hyperlink r:id="rId11" w:history="1">
        <w:r>
          <w:rPr>
            <w:rStyle w:val="a3"/>
            <w:color w:val="0000FF"/>
          </w:rPr>
          <w:t>пункте 1 статьи 26</w:t>
        </w:r>
      </w:hyperlink>
      <w:r>
        <w:t>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а) </w:t>
      </w:r>
      <w:hyperlink r:id="rId12" w:history="1">
        <w:r>
          <w:rPr>
            <w:rStyle w:val="a3"/>
            <w:color w:val="0000FF"/>
          </w:rPr>
          <w:t>абзац первый</w:t>
        </w:r>
      </w:hyperlink>
      <w:r>
        <w:t xml:space="preserve"> после слов "по производству электрической энергии," дополнить словами "в том числе объектов микрогенерации,";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б) </w:t>
      </w:r>
      <w:hyperlink r:id="rId13" w:history="1">
        <w:r>
          <w:rPr>
            <w:rStyle w:val="a3"/>
            <w:color w:val="0000FF"/>
          </w:rPr>
          <w:t>дополнить</w:t>
        </w:r>
      </w:hyperlink>
      <w:r>
        <w:t xml:space="preserve"> новым абзацем третьим следующего содержания: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"Допускается осуществлять технолог</w:t>
      </w:r>
      <w:r>
        <w:t>ическое присоединение объектов микрогенерации только к объектам электросетевого хозяйства с уровнем напряжения до 1000 вольт.";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в) </w:t>
      </w:r>
      <w:hyperlink r:id="rId14" w:history="1">
        <w:r>
          <w:rPr>
            <w:rStyle w:val="a3"/>
            <w:color w:val="0000FF"/>
          </w:rPr>
          <w:t>абзацы третий</w:t>
        </w:r>
      </w:hyperlink>
      <w:r>
        <w:t xml:space="preserve"> - </w:t>
      </w:r>
      <w:hyperlink r:id="rId15" w:history="1">
        <w:r>
          <w:rPr>
            <w:rStyle w:val="a3"/>
            <w:color w:val="0000FF"/>
          </w:rPr>
          <w:t>шестой</w:t>
        </w:r>
      </w:hyperlink>
      <w:r>
        <w:t xml:space="preserve"> считать соответственно абзацами </w:t>
      </w:r>
      <w:r>
        <w:t>четвертым - седьмым;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г) </w:t>
      </w:r>
      <w:hyperlink r:id="rId16" w:history="1">
        <w:r>
          <w:rPr>
            <w:rStyle w:val="a3"/>
            <w:color w:val="0000FF"/>
          </w:rPr>
          <w:t>абзац седьмой</w:t>
        </w:r>
      </w:hyperlink>
      <w:r>
        <w:t xml:space="preserve"> считать абзацем восьмым и дополнить его после слов "по </w:t>
      </w:r>
      <w:r>
        <w:t>производству электрической энергии," словами "объектов микрогенерации (в том числе типовую форму договора об осуществлении технологического присоединения объекта микрогенерации к объектам электросетевого хозяйства сетевых организаций),";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д) </w:t>
      </w:r>
      <w:hyperlink r:id="rId17" w:history="1">
        <w:r>
          <w:rPr>
            <w:rStyle w:val="a3"/>
            <w:color w:val="0000FF"/>
          </w:rPr>
          <w:t>абзацы восьмой</w:t>
        </w:r>
      </w:hyperlink>
      <w:r>
        <w:t xml:space="preserve"> - </w:t>
      </w:r>
      <w:hyperlink r:id="rId18" w:history="1">
        <w:r>
          <w:rPr>
            <w:rStyle w:val="a3"/>
            <w:color w:val="0000FF"/>
          </w:rPr>
          <w:t>четырнадцатый</w:t>
        </w:r>
      </w:hyperlink>
      <w:r>
        <w:t xml:space="preserve"> считать соответственно абзацами девятым - пятнадцатым;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е) </w:t>
      </w:r>
      <w:hyperlink r:id="rId19" w:history="1">
        <w:r>
          <w:rPr>
            <w:rStyle w:val="a3"/>
            <w:color w:val="0000FF"/>
          </w:rPr>
          <w:t>дополнить</w:t>
        </w:r>
      </w:hyperlink>
      <w:r>
        <w:t xml:space="preserve"> новым абзацем шестнадцатым следующего содержания: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"Технологическое присоединение объектов микрогенерации должно предусматривать обеспечение технического ограничения выдачи электрической энергии в</w:t>
      </w:r>
      <w:r>
        <w:t xml:space="preserve"> сеть с максимальной мощностью, не превышающей величину максимальной мощности принимающих устройств потребителя электрической энергии, которому принадлежат на праве собственности или ином законном основании объекты микрогенерации, и составляющей не более 1</w:t>
      </w:r>
      <w:r>
        <w:t>5 киловатт.";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ж) </w:t>
      </w:r>
      <w:hyperlink r:id="rId20" w:history="1">
        <w:r>
          <w:rPr>
            <w:rStyle w:val="a3"/>
            <w:color w:val="0000FF"/>
          </w:rPr>
          <w:t>абзацы пятнадцатый</w:t>
        </w:r>
      </w:hyperlink>
      <w:r>
        <w:t xml:space="preserve"> - </w:t>
      </w:r>
      <w:hyperlink r:id="rId21" w:history="1">
        <w:r>
          <w:rPr>
            <w:rStyle w:val="a3"/>
            <w:color w:val="0000FF"/>
          </w:rPr>
          <w:t>двадцать первый</w:t>
        </w:r>
      </w:hyperlink>
      <w:r>
        <w:t xml:space="preserve"> считать соответственно абзацами семнадцатым - двадцать третьим;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6) в </w:t>
      </w:r>
      <w:hyperlink r:id="rId22" w:history="1">
        <w:r>
          <w:rPr>
            <w:rStyle w:val="a3"/>
            <w:color w:val="0000FF"/>
          </w:rPr>
          <w:t>статье 37</w:t>
        </w:r>
      </w:hyperlink>
      <w:r>
        <w:t>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lastRenderedPageBreak/>
        <w:t xml:space="preserve">а) </w:t>
      </w:r>
      <w:hyperlink r:id="rId23" w:history="1">
        <w:r>
          <w:rPr>
            <w:rStyle w:val="a3"/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"2.1. Электрическая энергия, произведенная на объектах микрогенерации и не потребленная их собственниками и иными законными владельцами в целях удовлетворения собственных бытовых и (или) про</w:t>
      </w:r>
      <w:r>
        <w:t>изводственных нужд, реализуется на розничных рынках в порядке, установленном основными положениями функционирования розничных рынков.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Реализация физическими лицами электрической энергии, произведенной на объектах микрогенерации, не является предприниматель</w:t>
      </w:r>
      <w:r>
        <w:t>ской деятельностью.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Заключение договора купли-продажи электрической энергии, произведенной на объектах микрогенерации, расположенных в зоне деятельности гарантирующего поставщика, с обратившимися к гарантирующему поставщику собственником или иным законным </w:t>
      </w:r>
      <w:r>
        <w:t>владельцем объектов микрогенерации является обязательным для гарантирующего поставщика.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Гарантирующий поставщик, функционирующий в ценовых и неценовых зонах оптового рынка, приобретает на розничных рынках у собственников и иных законных владельцев объектов</w:t>
      </w:r>
      <w:r>
        <w:t xml:space="preserve"> микрогенерации электрическую энергию, произведенную на объектах микрогенерации, по ценам, не превышающим цен на приобретаемые на оптовом рынке гарантирующими поставщиками электрическую энергию и мощность.";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б) </w:t>
      </w:r>
      <w:hyperlink r:id="rId24" w:history="1">
        <w:r>
          <w:rPr>
            <w:rStyle w:val="a3"/>
            <w:color w:val="0000FF"/>
          </w:rPr>
          <w:t>пункт 3</w:t>
        </w:r>
      </w:hyperlink>
      <w:r>
        <w:t xml:space="preserve"> дополнить абзацами следующего содержания: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"порядок взаимодействия собственников и иных законных владельцев объектов микрогенерации</w:t>
      </w:r>
      <w:r>
        <w:t>, осуществляющих продажу электрической энергии, произведенной на объектах микрогенерации, с гарантирующими поставщиками и субъектами розничных рынков, в том числе порядок определения цены на электрическую энергию, произведенную на объектах микрогенерации и</w:t>
      </w:r>
      <w:r>
        <w:t xml:space="preserve"> приобретаемую гарантирующими поставщиками, и особенности осуществления коммерческого учета электрической энергии (мощности), произведенной на объектах микрогенерации;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порядок заключения сетевыми организациями договоров купли-продажи электрической энергии,</w:t>
      </w:r>
      <w:r>
        <w:t xml:space="preserve"> произведенной на квалифицированных генерирующих объектах, функционирующих на основе использования возобновляемых источников энергии или торфа, в целях компенсации потерь в электрических сетях, а также существенные условия указанных договоров.";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 xml:space="preserve">7) </w:t>
      </w:r>
      <w:hyperlink r:id="rId25" w:history="1">
        <w:r>
          <w:rPr>
            <w:rStyle w:val="a3"/>
            <w:color w:val="0000FF"/>
          </w:rPr>
          <w:t>абзац второй пункта 5 статьи 41</w:t>
        </w:r>
      </w:hyperlink>
      <w:r>
        <w:t xml:space="preserve"> изложить в следующей редакции:</w:t>
      </w:r>
    </w:p>
    <w:p w:rsidR="00000000" w:rsidRDefault="000C661C">
      <w:pPr>
        <w:pStyle w:val="ConsPlusNormal"/>
        <w:spacing w:before="160"/>
        <w:ind w:firstLine="540"/>
        <w:jc w:val="both"/>
      </w:pPr>
      <w:r>
        <w:t>"В случаях, установленных основными положен</w:t>
      </w:r>
      <w:r>
        <w:t>иями функционирования розничных рынков, сетевые организации обязаны осуществлять компенсацию потерь в электрических сетях в первую очередь за счет приобретения электрической энергии, произведенной на функционирующих на основе использования возобновляемых и</w:t>
      </w:r>
      <w:r>
        <w:t>сточников энергии или торфа квалифицированных генерирующих объектах.".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ind w:firstLine="540"/>
        <w:jc w:val="both"/>
      </w:pPr>
      <w:r>
        <w:rPr>
          <w:b/>
        </w:rPr>
        <w:t>Статья 2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jc w:val="right"/>
      </w:pPr>
      <w:r>
        <w:t>Президент</w:t>
      </w:r>
    </w:p>
    <w:p w:rsidR="00000000" w:rsidRDefault="000C661C">
      <w:pPr>
        <w:pStyle w:val="ConsPlusNormal"/>
        <w:jc w:val="right"/>
      </w:pPr>
      <w:r>
        <w:t>Российской Федерации</w:t>
      </w:r>
    </w:p>
    <w:p w:rsidR="00000000" w:rsidRDefault="000C661C">
      <w:pPr>
        <w:pStyle w:val="ConsPlusNormal"/>
        <w:jc w:val="right"/>
      </w:pPr>
      <w:r>
        <w:t>В.ПУТИН</w:t>
      </w:r>
    </w:p>
    <w:p w:rsidR="00000000" w:rsidRDefault="000C661C">
      <w:pPr>
        <w:pStyle w:val="ConsPlusNormal"/>
      </w:pPr>
      <w:r>
        <w:t>Москва, Кремль</w:t>
      </w:r>
    </w:p>
    <w:p w:rsidR="00000000" w:rsidRDefault="000C661C">
      <w:pPr>
        <w:pStyle w:val="ConsPlusNormal"/>
        <w:spacing w:before="160"/>
      </w:pPr>
      <w:r>
        <w:t>27 декабря 2019 года</w:t>
      </w:r>
    </w:p>
    <w:p w:rsidR="00000000" w:rsidRDefault="000C661C">
      <w:pPr>
        <w:pStyle w:val="ConsPlusNormal"/>
        <w:spacing w:before="160"/>
      </w:pPr>
      <w:r>
        <w:t>N 471-ФЗ</w:t>
      </w:r>
    </w:p>
    <w:p w:rsidR="00000000" w:rsidRDefault="000C661C">
      <w:pPr>
        <w:pStyle w:val="ConsPlusNormal"/>
        <w:jc w:val="both"/>
      </w:pPr>
    </w:p>
    <w:p w:rsidR="00000000" w:rsidRDefault="000C661C">
      <w:pPr>
        <w:pStyle w:val="ConsPlusNormal"/>
        <w:jc w:val="both"/>
      </w:pPr>
    </w:p>
    <w:p w:rsidR="000C661C" w:rsidRDefault="000C661C">
      <w:pPr>
        <w:pStyle w:val="ConsPlusNormal"/>
        <w:pBdr>
          <w:top w:val="single" w:sz="6" w:space="0" w:color="000001"/>
          <w:left w:val="none" w:sz="0" w:space="0" w:color="000000"/>
          <w:bottom w:val="none" w:sz="0" w:space="0" w:color="000000"/>
          <w:right w:val="none" w:sz="0" w:space="0" w:color="000000"/>
        </w:pBdr>
        <w:spacing w:before="100" w:after="100"/>
        <w:jc w:val="both"/>
      </w:pPr>
    </w:p>
    <w:sectPr w:rsidR="000C661C">
      <w:pgSz w:w="11906" w:h="16838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09"/>
    <w:rsid w:val="000C661C"/>
    <w:rsid w:val="007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1"/>
      <w:sz w:val="16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1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ConsPlusNormal">
    <w:name w:val="ConsPlusNormal"/>
    <w:pPr>
      <w:suppressAutoHyphens/>
    </w:pPr>
    <w:rPr>
      <w:rFonts w:ascii="Arial" w:eastAsia="Arial" w:hAnsi="Arial" w:cs="Courier New"/>
      <w:kern w:val="1"/>
      <w:sz w:val="16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Title">
    <w:name w:val="ConsPlusTitle"/>
    <w:pPr>
      <w:suppressAutoHyphens/>
    </w:pPr>
    <w:rPr>
      <w:rFonts w:ascii="Arial" w:eastAsia="Arial" w:hAnsi="Arial" w:cs="Courier New"/>
      <w:b/>
      <w:kern w:val="1"/>
      <w:sz w:val="16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Courier New" w:eastAsia="Arial" w:hAnsi="Courier New" w:cs="Courier New"/>
      <w:kern w:val="1"/>
      <w:szCs w:val="24"/>
      <w:lang w:eastAsia="zh-CN" w:bidi="hi-IN"/>
    </w:rPr>
  </w:style>
  <w:style w:type="paragraph" w:customStyle="1" w:styleId="ConsPlusDocList">
    <w:name w:val="ConsPlusDocList"/>
    <w:pPr>
      <w:suppressAutoHyphens/>
    </w:pPr>
    <w:rPr>
      <w:rFonts w:ascii="Courier New" w:eastAsia="Arial" w:hAnsi="Courier New" w:cs="Courier New"/>
      <w:kern w:val="1"/>
      <w:sz w:val="16"/>
      <w:szCs w:val="24"/>
      <w:lang w:eastAsia="zh-CN" w:bidi="hi-IN"/>
    </w:rPr>
  </w:style>
  <w:style w:type="paragraph" w:customStyle="1" w:styleId="ConsPlusTitlePage">
    <w:name w:val="ConsPlusTitlePage"/>
    <w:pPr>
      <w:suppressAutoHyphens/>
    </w:pPr>
    <w:rPr>
      <w:rFonts w:ascii="Tahoma" w:eastAsia="Arial" w:hAnsi="Tahoma" w:cs="Courier New"/>
      <w:kern w:val="1"/>
      <w:sz w:val="16"/>
      <w:szCs w:val="24"/>
      <w:lang w:eastAsia="zh-CN" w:bidi="hi-IN"/>
    </w:rPr>
  </w:style>
  <w:style w:type="paragraph" w:customStyle="1" w:styleId="ConsPlusJurTerm">
    <w:name w:val="ConsPlusJurTerm"/>
    <w:pPr>
      <w:suppressAutoHyphens/>
    </w:pPr>
    <w:rPr>
      <w:rFonts w:ascii="Tahoma" w:eastAsia="Arial" w:hAnsi="Tahoma" w:cs="Courier New"/>
      <w:kern w:val="1"/>
      <w:sz w:val="26"/>
      <w:szCs w:val="24"/>
      <w:lang w:eastAsia="zh-CN" w:bidi="hi-IN"/>
    </w:rPr>
  </w:style>
  <w:style w:type="paragraph" w:customStyle="1" w:styleId="ConsPlusTextList">
    <w:name w:val="ConsPlusTextList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0395B06481D5F3D95032B6E28650483168D697F9D9076A29F6C96733FF157B1950A0F69A7E6F911B180A9235F58B5870D85145CU446L" TargetMode="External"/><Relationship Id="rId13" Type="http://schemas.openxmlformats.org/officeDocument/2006/relationships/hyperlink" Target="consultantplus://offline/ref=5A70395B06481D5F3D95032B6E28650483168D697F9D9076A29F6C96733FF157B1950A0D69A2E5AE40FE81F567034BB58F0D87154044FFE8U24DL" TargetMode="External"/><Relationship Id="rId18" Type="http://schemas.openxmlformats.org/officeDocument/2006/relationships/hyperlink" Target="consultantplus://offline/ref=5A70395B06481D5F3D95032B6E28650483168D697F9D9076A29F6C96733FF157B1950A0D69A2E5A943FE81F567034BB58F0D87154044FFE8U24D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70395B06481D5F3D95032B6E28650483168D697F9D9076A29F6C96733FF157B1950A0D69A2E5A949FE81F567034BB58F0D87154044FFE8U24DL" TargetMode="External"/><Relationship Id="rId7" Type="http://schemas.openxmlformats.org/officeDocument/2006/relationships/hyperlink" Target="consultantplus://offline/ref=5A70395B06481D5F3D95032B6E28650483168D697F9D9076A29F6C96733FF157B1950A0D69A2E8A540FE81F567034BB58F0D87154044FFE8U24DL" TargetMode="External"/><Relationship Id="rId12" Type="http://schemas.openxmlformats.org/officeDocument/2006/relationships/hyperlink" Target="consultantplus://offline/ref=5A70395B06481D5F3D95032B6E28650483168D697F9D9076A29F6C96733FF157B1950A0D69A2E5AE40FE81F567034BB58F0D87154044FFE8U24DL" TargetMode="External"/><Relationship Id="rId17" Type="http://schemas.openxmlformats.org/officeDocument/2006/relationships/hyperlink" Target="consultantplus://offline/ref=5A70395B06481D5F3D95032B6E28650483168D697F9D9076A29F6C96733FF157B1950A0D69A2E5AE46FE81F567034BB58F0D87154044FFE8U24DL" TargetMode="External"/><Relationship Id="rId25" Type="http://schemas.openxmlformats.org/officeDocument/2006/relationships/hyperlink" Target="consultantplus://offline/ref=5A70395B06481D5F3D95032B6E28650483168D697F9D9076A29F6C96733FF157B1950A0E60A5E6F911B180A9235F58B5870D85145CU44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A70395B06481D5F3D95032B6E28650483168D697F9D9076A29F6C96733FF157B1950A0D69A2E5AE45FE81F567034BB58F0D87154044FFE8U24DL" TargetMode="External"/><Relationship Id="rId20" Type="http://schemas.openxmlformats.org/officeDocument/2006/relationships/hyperlink" Target="consultantplus://offline/ref=5A70395B06481D5F3D95032B6E28650483168D697F9D9076A29F6C96733FF157B1950A0D69A2E5A944FE81F567034BB58F0D87154044FFE8U24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0395B06481D5F3D95032B6E28650483168D697F9D9076A29F6C96733FF157A395520169ABF3AD41EBD7A421U546L" TargetMode="External"/><Relationship Id="rId11" Type="http://schemas.openxmlformats.org/officeDocument/2006/relationships/hyperlink" Target="consultantplus://offline/ref=5A70395B06481D5F3D95032B6E28650483168D697F9D9076A29F6C96733FF157B1950A0D69A2E5AE40FE81F567034BB58F0D87154044FFE8U24DL" TargetMode="External"/><Relationship Id="rId24" Type="http://schemas.openxmlformats.org/officeDocument/2006/relationships/hyperlink" Target="consultantplus://offline/ref=5A70395B06481D5F3D95032B6E28650483168D697F9D9076A29F6C96733FF157B1950A0D69A2E4A542FE81F567034BB58F0D87154044FFE8U24DL" TargetMode="External"/><Relationship Id="rId5" Type="http://schemas.openxmlformats.org/officeDocument/2006/relationships/hyperlink" Target="http://www.consultant.ru/" TargetMode="External"/><Relationship Id="rId15" Type="http://schemas.openxmlformats.org/officeDocument/2006/relationships/hyperlink" Target="consultantplus://offline/ref=5A70395B06481D5F3D95032B6E28650483168D697F9D9076A29F6C96733FF157B1950A0D69A2E5AE44FE81F567034BB58F0D87154044FFE8U24DL" TargetMode="External"/><Relationship Id="rId23" Type="http://schemas.openxmlformats.org/officeDocument/2006/relationships/hyperlink" Target="consultantplus://offline/ref=5A70395B06481D5F3D95032B6E28650483168D697F9D9076A29F6C96733FF157B1950A0D69A2E9AA43FE81F567034BB58F0D87154044FFE8U24DL" TargetMode="External"/><Relationship Id="rId10" Type="http://schemas.openxmlformats.org/officeDocument/2006/relationships/hyperlink" Target="consultantplus://offline/ref=5A70395B06481D5F3D95032B6E28650483168D697F9D9076A29F6C96733FF157B1950A0D69A2E5AF43FE81F567034BB58F0D87154044FFE8U24DL" TargetMode="External"/><Relationship Id="rId19" Type="http://schemas.openxmlformats.org/officeDocument/2006/relationships/hyperlink" Target="consultantplus://offline/ref=5A70395B06481D5F3D95032B6E28650483168D697F9D9076A29F6C96733FF157B1950A0D69A2E5AE40FE81F567034BB58F0D87154044FFE8U24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70395B06481D5F3D95032B6E28650483168D697F9D9076A29F6C96733FF157B1950A0D61A6E6F911B180A9235F58B5870D85145CU446L" TargetMode="External"/><Relationship Id="rId14" Type="http://schemas.openxmlformats.org/officeDocument/2006/relationships/hyperlink" Target="consultantplus://offline/ref=5A70395B06481D5F3D95032B6E28650483168D697F9D9076A29F6C96733FF157B1950A0D69A2E5AE41FE81F567034BB58F0D87154044FFE8U24DL" TargetMode="External"/><Relationship Id="rId22" Type="http://schemas.openxmlformats.org/officeDocument/2006/relationships/hyperlink" Target="consultantplus://offline/ref=5A70395B06481D5F3D95032B6E28650483168D697F9D9076A29F6C96733FF157B1950A0D69A2E9AA43FE81F567034BB58F0D87154044FFE8U24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27.12.2019 N 471-ФЗ"О внесении изменений в Федеральный закон "Об электроэнергетике" в части развития микрогенерации"</vt:lpstr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27.12.2019 N 471-ФЗ"О внесении изменений в Федеральный закон "Об электроэнергетике" в части развития микрогенерации"</dc:title>
  <dc:creator>LK</dc:creator>
  <cp:lastModifiedBy>LK</cp:lastModifiedBy>
  <cp:revision>2</cp:revision>
  <cp:lastPrinted>1601-01-01T00:00:00Z</cp:lastPrinted>
  <dcterms:created xsi:type="dcterms:W3CDTF">2020-02-17T11:35:00Z</dcterms:created>
  <dcterms:modified xsi:type="dcterms:W3CDTF">2020-02-17T11:35:00Z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