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42A1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494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942A1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4942A1">
            <w:pPr>
              <w:pStyle w:val="ConsPlusDocList"/>
              <w:widowControl/>
              <w:suppressAutoHyphens w:val="0"/>
              <w:snapToGrid w:val="0"/>
              <w:spacing w:line="240" w:lineRule="atLeast"/>
              <w:jc w:val="center"/>
            </w:pPr>
            <w:r>
              <w:rPr>
                <w:rFonts w:eastAsia="Arial"/>
                <w:color w:val="000000"/>
                <w:lang w:eastAsia="ru-RU"/>
              </w:rPr>
              <w:t>осуществление временного технологического присоединения передвижных энергопринимающих устройств с максимальной мощностью до 150 кВт включительно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4942A1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услуги (процесса) </w:t>
            </w:r>
          </w:p>
          <w:p w:rsidR="00000000" w:rsidRDefault="004942A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4942A1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00000" w:rsidRDefault="004942A1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Юридически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е лица, индивидуальные предприниматели, физические лица имеющие энергопринимающие устройства,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которых являются передвижными* и имеют максимальную мощность до 150 кВт включительно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азмер платы определяется на основании — Приказа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присоединение.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тат оказания услуги (процесса):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передвижного энергопринимающего устройства к электрическим сетям.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4942A1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color w:val="000000"/>
          <w:sz w:val="20"/>
          <w:szCs w:val="20"/>
          <w:lang w:eastAsia="ru-RU"/>
        </w:rPr>
        <w:t>15 рабочих дней с даты заключения договора (если в заявке не указан более продолжительны</w:t>
      </w:r>
      <w:r>
        <w:rPr>
          <w:rFonts w:eastAsia="Arial"/>
          <w:color w:val="000000"/>
          <w:sz w:val="20"/>
          <w:szCs w:val="20"/>
          <w:lang w:eastAsia="ru-RU"/>
        </w:rPr>
        <w:t>й срок и,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метров)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00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0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</w:t>
            </w:r>
            <w:r>
              <w:rPr>
                <w:rFonts w:ascii="Times New Roman" w:hAnsi="Times New Roman" w:cs="Times New Roman"/>
                <w:color w:val="000000"/>
              </w:rPr>
              <w:t>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Подача заявки на технологическое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4942A1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4942A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>проверка прилагаемой документации, принятие решения о даль</w:t>
            </w:r>
            <w:r>
              <w:rPr>
                <w:sz w:val="20"/>
                <w:szCs w:val="20"/>
              </w:rPr>
              <w:t>нейшем статусе заявки, назначение ответственного за выполнение заявки.</w:t>
            </w:r>
          </w:p>
          <w:p w:rsidR="00000000" w:rsidRDefault="004942A1">
            <w:pPr>
              <w:pStyle w:val="ConsPlusDocList"/>
              <w:suppressAutoHyphens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Заявка направляется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  <w:p w:rsidR="00000000" w:rsidRDefault="004942A1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Заявитель также </w:t>
            </w:r>
            <w:r>
              <w:rPr>
                <w:rFonts w:eastAsia="Arial"/>
                <w:color w:val="000000"/>
                <w:sz w:val="20"/>
                <w:szCs w:val="20"/>
              </w:rPr>
              <w:t>вправе направить заявку и прилагаемые документы посредством официального сайта АО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6 рабочих дней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п.7., 8., 15.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Default"/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заявителю проекта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Разработка технических условий и оформление типовой формы проекта договора технологического 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Вручается заявителю</w:t>
            </w:r>
          </w:p>
          <w:p w:rsidR="00000000" w:rsidRDefault="004942A1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лично или направляется по почте заявителю </w:t>
            </w:r>
            <w:r>
              <w:rPr>
                <w:sz w:val="20"/>
                <w:szCs w:val="20"/>
              </w:rPr>
              <w:t xml:space="preserve">2 </w:t>
            </w:r>
          </w:p>
          <w:p w:rsidR="00000000" w:rsidRDefault="004942A1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экземпляра проекта договора </w:t>
            </w:r>
          </w:p>
          <w:p w:rsidR="00000000" w:rsidRDefault="004942A1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и ТУ. 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течении 10 дней с даты получения заявки или недостающих сведений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Заявитель подписывает оба экземпляра проекта договора в течение 10 рабочих дней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с даты получения подписанного сетевой организацией проекта договора и направляет в указанный срок 1 экземпляр в АО «Орелоблэнерго» с приложением к нему документов, подтверждающих полномочия лица, подписавшего такой договор.</w:t>
            </w:r>
          </w:p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несогласия с представл</w:t>
            </w:r>
            <w:r>
              <w:rPr>
                <w:rFonts w:ascii="Times New Roman" w:eastAsia="Arial" w:hAnsi="Times New Roman" w:cs="Times New Roman"/>
                <w:szCs w:val="20"/>
              </w:rPr>
              <w:t>енным АО «Орелоблэнерго» проектом договора и (или) несоответствия его Правилам заявитель вправе в течение 10 рабочих дней со дня получения подписанного АО «Орелоблэнерго» проекта договора и технических условий направить АО «Орелоблэнерго» мотивированный от</w:t>
            </w:r>
            <w:r>
              <w:rPr>
                <w:rFonts w:ascii="Times New Roman" w:eastAsia="Arial" w:hAnsi="Times New Roman" w:cs="Times New Roman"/>
                <w:szCs w:val="20"/>
              </w:rPr>
              <w:t>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заявителем в АО «Орелоблэнерго» заказным письм</w:t>
            </w:r>
            <w:r>
              <w:rPr>
                <w:rFonts w:ascii="Times New Roman" w:eastAsia="Arial" w:hAnsi="Times New Roman" w:cs="Times New Roman"/>
                <w:szCs w:val="20"/>
              </w:rPr>
              <w:t>ом с уведомлением о вручении.</w:t>
            </w:r>
          </w:p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а и технических условий,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поданная этим заявителем заявка аннулируется.</w:t>
            </w:r>
          </w:p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направления заявителем в течение 10 рабочих дней после получения от АО «Орелоблэнерго» проекта договора мотивированного отказа от подписания этого проекта договора с требование</w:t>
            </w:r>
            <w:r>
              <w:rPr>
                <w:rFonts w:ascii="Times New Roman" w:eastAsia="Arial" w:hAnsi="Times New Roman" w:cs="Times New Roman"/>
                <w:szCs w:val="20"/>
              </w:rPr>
              <w:t>м приведения его в соответствие с  Правилами АО «Орелоблэнерго» обязана привести проект договора в соответствие с  Правилами в течение 10 рабочих дней со дня получения такого требования и представить заявителю новую редакцию проекта договора для подписания</w:t>
            </w:r>
            <w:r>
              <w:rPr>
                <w:rFonts w:ascii="Times New Roman" w:eastAsia="Arial" w:hAnsi="Times New Roman" w:cs="Times New Roman"/>
                <w:szCs w:val="20"/>
              </w:rPr>
              <w:t>, а также технические условия (как неотъемлемое 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4942A1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 xml:space="preserve">Договор считается заключенным с даты поступления подписанного заявителем </w:t>
            </w:r>
            <w:r>
              <w:rPr>
                <w:rFonts w:eastAsia="Arial"/>
                <w:sz w:val="20"/>
                <w:szCs w:val="20"/>
              </w:rPr>
              <w:t>экземпляра договора в сетевую организацию.</w:t>
            </w:r>
          </w:p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оекта договора и технических условий, поданная этим заявителем заявка аннулируется.</w:t>
            </w:r>
          </w:p>
          <w:p w:rsidR="00000000" w:rsidRDefault="004942A1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4942A1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 течение 10 рабочих дней с даты получения подписанного сетевой организацией проекта договора.</w:t>
            </w:r>
          </w:p>
          <w:p w:rsidR="00000000" w:rsidRDefault="004942A1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Выполнение сторонами договора мероприятий, предусмотр</w:t>
            </w:r>
            <w:r>
              <w:rPr>
                <w:rFonts w:eastAsia="Arial"/>
                <w:color w:val="000000"/>
                <w:sz w:val="20"/>
                <w:szCs w:val="20"/>
              </w:rPr>
              <w:t>енных договором технологического присоединения</w:t>
            </w:r>
          </w:p>
          <w:p w:rsidR="00000000" w:rsidRDefault="004942A1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</w:t>
            </w:r>
            <w:r>
              <w:rPr>
                <w:rFonts w:eastAsia="Arial"/>
                <w:color w:val="000000"/>
                <w:sz w:val="20"/>
                <w:szCs w:val="20"/>
              </w:rPr>
              <w:t>яйства сетевой организации до присоединяемых энергопринимающих устройств. При этом АО«Орелоблэнерго» обеспечивает  техническую подготовку соответствующих объектов электросетевого хозяйства для временного технологического присоединения.</w:t>
            </w:r>
          </w:p>
          <w:p w:rsidR="00000000" w:rsidRDefault="004942A1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Проверка выполнения</w:t>
            </w:r>
            <w:r>
              <w:rPr>
                <w:rFonts w:eastAsia="Arial"/>
                <w:sz w:val="20"/>
                <w:szCs w:val="20"/>
              </w:rPr>
              <w:t xml:space="preserve"> заявителем и сетевой организацией технических 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проверки  составляется  акт о выполнении технических условий.</w:t>
            </w:r>
          </w:p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Одновременно с осмотром присоединяемых электроустановок заявителя осуществл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эксплуатации в порядке, предусмотренном разделом Х Основных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положений функционирования розничных рынков электрической энергии. Форма акта допуска в эксплуатацию прибора учета электрической энергии приведена в приложении №16 к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В течении 15 рабочих дней с даты поступления в АО «Орлоблэнерго» подписанного за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явителем экземпляра договора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  <w:t>(если в заявке не указан более продолжительный срок и,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метров)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п.16., 18., 53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. раздел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 xml:space="preserve">Осуществление  фактического присоединения объектов заявителя к электрическим сетям и фактического приема (подачи) напряжения и мощности.  </w:t>
            </w:r>
          </w:p>
          <w:p w:rsidR="00000000" w:rsidRDefault="004942A1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4942A1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 физическое со</w:t>
            </w:r>
            <w:r>
              <w:rPr>
                <w:rFonts w:eastAsia="Arial"/>
                <w:sz w:val="20"/>
                <w:szCs w:val="20"/>
              </w:rPr>
              <w:t>единение (контакт) объектов электросетевого хозяйства АО «Орелоблэнерго» и объектов заявителя (энергопринимающих устройств) и фактический прием (подача) напряжения и мощности, осуществляемый путем включения коммутационного аппарата (фиксация коммутационног</w:t>
            </w:r>
            <w:r>
              <w:rPr>
                <w:rFonts w:eastAsia="Arial"/>
                <w:sz w:val="20"/>
                <w:szCs w:val="20"/>
              </w:rPr>
              <w:t>о аппарата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5 рабочих дней со дня  проверки выполнения ТУ, с соблюдением срока указанного в пункте 3.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942A1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акта об осуществлении технологического присоединения</w:t>
            </w:r>
          </w:p>
          <w:p w:rsidR="00000000" w:rsidRDefault="004942A1">
            <w:pPr>
              <w:suppressAutoHyphens w:val="0"/>
              <w:snapToGrid w:val="0"/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следующие документы: акт об осуществлении технологического присоединения;</w:t>
            </w:r>
          </w:p>
          <w:p w:rsidR="00000000" w:rsidRDefault="004942A1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По установленной типово</w:t>
            </w:r>
            <w:r>
              <w:rPr>
                <w:sz w:val="20"/>
                <w:szCs w:val="20"/>
              </w:rPr>
              <w:t>й форме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942A1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рабочих дней со дня  проверки выполнения ТУ, с соблюдением срока указанного в пункте 3.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942A1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19. Правил</w:t>
            </w:r>
          </w:p>
        </w:tc>
      </w:tr>
    </w:tbl>
    <w:p w:rsidR="00000000" w:rsidRDefault="004942A1">
      <w:pPr>
        <w:suppressAutoHyphens w:val="0"/>
        <w:snapToGrid w:val="0"/>
        <w:spacing w:line="100" w:lineRule="atLeast"/>
        <w:ind w:left="-113" w:right="2"/>
      </w:pP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4942A1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E-mail: info@orelob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4942A1">
            <w:pPr>
              <w:snapToGrid w:val="0"/>
              <w:spacing w:line="100" w:lineRule="atLeast"/>
              <w:jc w:val="both"/>
            </w:pPr>
          </w:p>
          <w:p w:rsidR="00000000" w:rsidRDefault="004942A1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</w:p>
        </w:tc>
      </w:tr>
    </w:tbl>
    <w:p w:rsidR="00000000" w:rsidRDefault="004942A1">
      <w:r>
        <w:rPr>
          <w:rFonts w:ascii="Times New Roman" w:hAnsi="Times New Roman" w:cs="Times New Roman"/>
          <w:color w:val="000000"/>
          <w:szCs w:val="20"/>
        </w:rPr>
        <w:t>*-</w:t>
      </w:r>
      <w:r>
        <w:rPr>
          <w:rFonts w:ascii="Times New Roman" w:eastAsia="Arial" w:hAnsi="Times New Roman" w:cs="Times New Roman"/>
          <w:color w:val="000000"/>
          <w:szCs w:val="20"/>
        </w:rPr>
        <w:t>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</w:t>
      </w:r>
    </w:p>
    <w:p w:rsidR="00000000" w:rsidRDefault="004942A1">
      <w:pPr>
        <w:rPr>
          <w:color w:val="FF0000"/>
        </w:rPr>
      </w:pPr>
    </w:p>
    <w:p w:rsidR="00000000" w:rsidRDefault="00494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494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494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942A1" w:rsidRDefault="004942A1">
      <w:pPr>
        <w:rPr>
          <w:color w:val="FF0000"/>
        </w:rPr>
      </w:pPr>
    </w:p>
    <w:sectPr w:rsidR="004942A1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9"/>
    <w:rsid w:val="004942A1"/>
    <w:rsid w:val="00A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2020-01-30T13:11:00Z</dcterms:created>
  <dcterms:modified xsi:type="dcterms:W3CDTF">2020-01-30T13:11:00Z</dcterms:modified>
</cp:coreProperties>
</file>