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2D6C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000" w:rsidRDefault="00A42D6C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000000" w:rsidRDefault="00A42D6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Услуга по согласованию проектной документации на строительство объектов капитального строительства, временных сооружений, линейных объектов, в том числе и сетей инженерно-технического обеспечения (сети связи, </w:t>
      </w:r>
      <w:r>
        <w:rPr>
          <w:rFonts w:ascii="Times New Roman" w:hAnsi="Times New Roman" w:cs="Times New Roman"/>
          <w:sz w:val="28"/>
          <w:szCs w:val="28"/>
        </w:rPr>
        <w:t>электро-,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тепло-, газо-, водоснабжения и водоотведения)</w:t>
      </w:r>
      <w:r>
        <w:rPr>
          <w:rFonts w:ascii="Times New Roman" w:hAnsi="Times New Roman" w:cs="Times New Roman"/>
          <w:sz w:val="28"/>
          <w:szCs w:val="28"/>
        </w:rPr>
        <w:t xml:space="preserve"> без выезда на объект</w:t>
      </w:r>
    </w:p>
    <w:p w:rsidR="00000000" w:rsidRDefault="00A42D6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000000" w:rsidRDefault="00A42D6C">
      <w:pPr>
        <w:widowControl/>
        <w:suppressAutoHyphens w:val="0"/>
        <w:autoSpaceDE w:val="0"/>
        <w:snapToGrid w:val="0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наименование услуги (процесса) </w:t>
      </w:r>
    </w:p>
    <w:p w:rsidR="00000000" w:rsidRDefault="00A42D6C">
      <w:pPr>
        <w:widowControl/>
        <w:suppressAutoHyphens w:val="0"/>
        <w:autoSpaceDE w:val="0"/>
        <w:snapToGrid w:val="0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явителей:</w:t>
      </w:r>
    </w:p>
    <w:p w:rsidR="00000000" w:rsidRDefault="00A42D6C">
      <w:pPr>
        <w:pStyle w:val="ConsPlusDocList"/>
        <w:suppressAutoHyphens w:val="0"/>
        <w:snapToGrid w:val="0"/>
        <w:spacing w:line="100" w:lineRule="atLeast"/>
        <w:ind w:left="-12" w:right="2"/>
      </w:pPr>
      <w:r>
        <w:rPr>
          <w:rFonts w:eastAsia="Arial"/>
          <w:color w:val="000000"/>
          <w:sz w:val="20"/>
          <w:szCs w:val="20"/>
          <w:lang w:eastAsia="ru-RU"/>
        </w:rPr>
        <w:t>Физическое лицо, юридическое лицо или индивидуальный предприниматель</w:t>
      </w:r>
    </w:p>
    <w:p w:rsidR="00000000" w:rsidRDefault="00A42D6C">
      <w:pPr>
        <w:suppressAutoHyphens w:val="0"/>
        <w:snapToGrid w:val="0"/>
        <w:spacing w:line="100" w:lineRule="atLeast"/>
        <w:ind w:left="-12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A42D6C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Размер платы составляет 779 руб. 08 коп.*. </w:t>
      </w:r>
    </w:p>
    <w:p w:rsidR="00000000" w:rsidRDefault="00A42D6C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Основание — Гражданский кодекс РФ, Распоряжение АО «Орелоб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лэнерго»  от 31.12.2019 №40 (калькуляция №28)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  <w:t>.</w:t>
      </w:r>
    </w:p>
    <w:p w:rsidR="00000000" w:rsidRDefault="00A42D6C">
      <w:pPr>
        <w:suppressAutoHyphens w:val="0"/>
        <w:snapToGrid w:val="0"/>
        <w:spacing w:line="100" w:lineRule="atLeast"/>
        <w:ind w:right="2"/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</w:pPr>
    </w:p>
    <w:p w:rsidR="00000000" w:rsidRDefault="00A42D6C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При поступлении в адрес АО «Орелоблэнерго» обращения заявителя на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согласования проектной документации на строительство объектов капитального строительства, временных соору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жений, линейных объектов, в том числе и сетей инженерно-технического обеспечения (сети связи, электро-,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 тепло-, газо-, водоснабжения и водоотведения) и отсутствия необходимости выезда на объект.</w:t>
      </w:r>
    </w:p>
    <w:p w:rsidR="00000000" w:rsidRDefault="00A42D6C">
      <w:pPr>
        <w:widowControl/>
        <w:suppressAutoHyphens w:val="0"/>
        <w:autoSpaceDE w:val="0"/>
        <w:snapToGrid w:val="0"/>
        <w:spacing w:line="24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A42D6C">
      <w:pPr>
        <w:suppressAutoHyphens w:val="0"/>
        <w:snapToGrid w:val="0"/>
        <w:spacing w:line="10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Согласование проектно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й документации.</w:t>
      </w:r>
    </w:p>
    <w:p w:rsidR="00000000" w:rsidRDefault="00A42D6C">
      <w:pPr>
        <w:suppressAutoHyphens w:val="0"/>
        <w:snapToGrid w:val="0"/>
        <w:spacing w:line="100" w:lineRule="atLeast"/>
        <w:ind w:left="-12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В день обращения.</w:t>
      </w:r>
    </w:p>
    <w:p w:rsidR="00000000" w:rsidRDefault="00A42D6C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208"/>
        <w:gridCol w:w="2643"/>
        <w:gridCol w:w="2089"/>
        <w:gridCol w:w="1120"/>
        <w:gridCol w:w="2565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Обращение в сетевую организацию на предмет рассмотрение проектной документации </w:t>
            </w:r>
          </w:p>
          <w:p w:rsidR="00000000" w:rsidRDefault="00A42D6C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обращения, </w:t>
            </w:r>
            <w:r>
              <w:rPr>
                <w:sz w:val="20"/>
                <w:szCs w:val="20"/>
              </w:rPr>
              <w:t>проверка прилагаемых документов, принятие решения о дальнейшем статусе обращения, назначение ответственного за выполнение.</w:t>
            </w:r>
          </w:p>
          <w:p w:rsidR="00000000" w:rsidRDefault="00A42D6C">
            <w:pPr>
              <w:pStyle w:val="aa"/>
              <w:rPr>
                <w:color w:val="00000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ConsPlusNormal"/>
              <w:suppressAutoHyphens w:val="0"/>
            </w:pPr>
            <w:r>
              <w:rPr>
                <w:color w:val="000000"/>
              </w:rPr>
              <w:t>Сетевая организация о</w:t>
            </w:r>
            <w:r>
              <w:rPr>
                <w:color w:val="000000"/>
              </w:rPr>
              <w:t>беспечивает рассмотрение обращений потребителей, поступивших в устной, письменной форме или в форме электронного документа.</w:t>
            </w:r>
          </w:p>
          <w:p w:rsidR="00000000" w:rsidRDefault="00A42D6C">
            <w:pPr>
              <w:pStyle w:val="Default"/>
              <w:suppressAutoHyphens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6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A42D6C">
            <w:pPr>
              <w:pStyle w:val="aa"/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Гражданский кодекс РФ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A42D6C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Согласование принятых проектных (в случае отсутствия нарушений действующих норм и правил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Проверка принятых проектных решений на соответствие требованиям действующих норм и Правил.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Оформление акта выполненных работ.</w:t>
            </w:r>
          </w:p>
          <w:p w:rsidR="00000000" w:rsidRDefault="00A42D6C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Постановка в проекте штампа «Согласовано» с указанием дополнительных условий (при необходимости).</w:t>
            </w:r>
          </w:p>
          <w:p w:rsidR="00000000" w:rsidRDefault="00A42D6C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42D6C">
            <w:pPr>
              <w:pStyle w:val="aa"/>
              <w:suppressAutoHyphens w:val="0"/>
              <w:snapToGrid w:val="0"/>
              <w:rPr>
                <w:color w:val="000000"/>
              </w:rPr>
            </w:pPr>
          </w:p>
        </w:tc>
      </w:tr>
    </w:tbl>
    <w:p w:rsidR="00000000" w:rsidRDefault="00A42D6C">
      <w:pPr>
        <w:suppressAutoHyphens w:val="0"/>
        <w:snapToGrid w:val="0"/>
        <w:spacing w:line="100" w:lineRule="atLeast"/>
        <w:ind w:left="-113" w:right="2"/>
      </w:pPr>
      <w:r>
        <w:rPr>
          <w:rFonts w:eastAsia="Arial" w:cs="Arial"/>
        </w:rPr>
        <w:t xml:space="preserve">  </w:t>
      </w:r>
    </w:p>
    <w:p w:rsidR="00000000" w:rsidRDefault="00A42D6C">
      <w:pPr>
        <w:suppressAutoHyphens w:val="0"/>
        <w:snapToGrid w:val="0"/>
        <w:spacing w:line="100" w:lineRule="atLeast"/>
        <w:ind w:right="2"/>
      </w:pPr>
      <w:r>
        <w:rPr>
          <w:rFonts w:eastAsia="Arial" w:cs="Arial"/>
        </w:rPr>
        <w:t xml:space="preserve">  </w:t>
      </w:r>
      <w:r>
        <w:t>*- Со</w:t>
      </w:r>
      <w:r>
        <w:t>гласование проектной документации на сети внешнего электроснабжения, разработанной на основании технических условий выданных АО «Орелоблэнерго», осуществляется бесплатно.</w:t>
      </w:r>
    </w:p>
    <w:p w:rsidR="00000000" w:rsidRDefault="00A42D6C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A42D6C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A42D6C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A42D6C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302030 г. Орел, пл. Поликарпова, 8</w:t>
      </w: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A42D6C">
            <w:pPr>
              <w:snapToGrid w:val="0"/>
              <w:spacing w:line="100" w:lineRule="atLeast"/>
              <w:jc w:val="both"/>
            </w:pPr>
          </w:p>
          <w:p w:rsidR="00000000" w:rsidRDefault="00A42D6C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A42D6C"/>
    <w:p w:rsidR="00000000" w:rsidRDefault="00A42D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2D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2D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2D6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A42D6C"/>
    <w:p w:rsidR="00000000" w:rsidRDefault="00A42D6C"/>
    <w:p w:rsidR="00000000" w:rsidRDefault="00A42D6C"/>
    <w:p w:rsidR="00000000" w:rsidRDefault="00A42D6C">
      <w:pPr>
        <w:rPr>
          <w:rFonts w:ascii="Times New Roman" w:hAnsi="Times New Roman" w:cs="Times New Roman"/>
        </w:rPr>
      </w:pPr>
    </w:p>
    <w:p w:rsidR="00A42D6C" w:rsidRDefault="00A42D6C">
      <w:pPr>
        <w:widowControl/>
        <w:suppressAutoHyphens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</w:p>
    <w:sectPr w:rsidR="00A42D6C">
      <w:pgSz w:w="11906" w:h="16838"/>
      <w:pgMar w:top="184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5"/>
    <w:rsid w:val="000873E5"/>
    <w:rsid w:val="00A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2020-01-30T13:31:00Z</dcterms:created>
  <dcterms:modified xsi:type="dcterms:W3CDTF">2020-01-30T13:31:00Z</dcterms:modified>
</cp:coreProperties>
</file>