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 w:ascii="Times New Roman" w:hAnsi="Times New Roman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 xml:space="preserve">    </w:t>
      </w:r>
      <w:r>
        <w:rPr>
          <w:rFonts w:cs="Times New Roman" w:ascii="Times New Roman" w:hAnsi="Times New Roman"/>
          <w:b/>
          <w:bCs/>
          <w:sz w:val="26"/>
          <w:szCs w:val="26"/>
        </w:rPr>
        <w:tab/>
        <w:tab/>
        <w:tab/>
        <w:tab/>
        <w:tab/>
        <w:tab/>
        <w:t xml:space="preserve">                                      «У Т В Е Р Ж Д А Ю»</w:t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 xml:space="preserve">                                                            Генеральный директор</w:t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АО «Орелоблэнерго»</w:t>
      </w:r>
    </w:p>
    <w:p>
      <w:pPr>
        <w:pStyle w:val="Normal"/>
        <w:jc w:val="both"/>
        <w:rPr>
          <w:rFonts w:eastAsia="Times New Roman" w:cs="Times New Roman"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</w:t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 xml:space="preserve">                                                              ___________А. Л. Куликов</w:t>
      </w:r>
    </w:p>
    <w:p>
      <w:pPr>
        <w:pStyle w:val="Normal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 xml:space="preserve">                                                                      «_____»_________2019г.</w:t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24"/>
          <w:szCs w:val="26"/>
        </w:rPr>
      </w:pPr>
      <w:r>
        <w:rPr>
          <w:rFonts w:cs="Times New Roman" w:ascii="Times New Roman" w:hAnsi="Times New Roman"/>
          <w:b/>
          <w:bCs/>
          <w:sz w:val="24"/>
          <w:szCs w:val="26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ab/>
        <w:tab/>
        <w:tab/>
        <w:tab/>
        <w:tab/>
        <w:tab/>
      </w:r>
    </w:p>
    <w:p>
      <w:pPr>
        <w:pStyle w:val="Normal"/>
        <w:jc w:val="both"/>
        <w:rPr>
          <w:rFonts w:cs="Times New Roman" w:ascii="Times New Roman" w:hAnsi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jc w:val="both"/>
        <w:rPr>
          <w:sz w:val="22"/>
          <w:szCs w:val="26"/>
        </w:rPr>
      </w:pPr>
      <w:r>
        <w:rPr>
          <w:sz w:val="22"/>
          <w:szCs w:val="26"/>
        </w:rPr>
      </w:r>
    </w:p>
    <w:p>
      <w:pPr>
        <w:pStyle w:val="Normal"/>
        <w:ind w:left="0" w:right="0" w:hanging="0"/>
        <w:jc w:val="center"/>
        <w:rPr>
          <w:rFonts w:cs="Times New Roman" w:ascii="Times New Roman" w:hAnsi="Times New Roman"/>
          <w:b/>
          <w:bCs/>
          <w:color w:val="0000FF"/>
          <w:sz w:val="48"/>
          <w:szCs w:val="48"/>
        </w:rPr>
      </w:pPr>
      <w:r>
        <w:rPr>
          <w:rFonts w:cs="Times New Roman" w:ascii="Times New Roman" w:hAnsi="Times New Roman"/>
          <w:b/>
          <w:bCs/>
          <w:color w:val="0000FF"/>
          <w:sz w:val="48"/>
          <w:szCs w:val="48"/>
        </w:rPr>
        <w:t>П Р О Г Р А М М А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FF"/>
          <w:sz w:val="36"/>
          <w:szCs w:val="36"/>
        </w:rPr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FF"/>
          <w:sz w:val="36"/>
          <w:szCs w:val="36"/>
        </w:rPr>
        <w:t>энергосбережения и повышения энергетической эффективности  АО «Орёлоблэнерго»</w:t>
      </w:r>
    </w:p>
    <w:p>
      <w:pPr>
        <w:pStyle w:val="Normal"/>
        <w:spacing w:lineRule="auto" w:line="360"/>
        <w:jc w:val="center"/>
        <w:rPr>
          <w:rFonts w:cs="Times New Roman" w:ascii="Times New Roman" w:hAnsi="Times New Roman"/>
          <w:b/>
          <w:bCs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FF"/>
          <w:sz w:val="36"/>
          <w:szCs w:val="36"/>
        </w:rPr>
        <w:t>на 2020-2024 годы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FF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0000FF"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город Орёл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2019 год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программы АО «Орёлоблэнерго» 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2020-2024 годы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55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  <w:right w:val="nil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3165"/>
        <w:gridCol w:w="6892"/>
        <w:gridCol w:w="6"/>
      </w:tblGrid>
      <w:tr>
        <w:trPr>
          <w:cantSplit w:val="false"/>
        </w:trPr>
        <w:tc>
          <w:tcPr>
            <w:tcW w:w="31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энергосбережения и повышения энергетической эффективности  АО «Орёлоблэнерго»</w:t>
            </w:r>
          </w:p>
        </w:tc>
      </w:tr>
      <w:tr>
        <w:trPr>
          <w:trHeight w:val="1271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Федеральный закон РФ от 23.10.2009г. №261-ФЗ «Об энергосбережении и о повышении энергетической эффективности...», Постановление Правительства РФ от 15.05.2010г. №340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 Правительства Орловской области от 03.06.2010г. №182 «Об утверждении требований к программам по энергосбережению и повышению энергетической эффективности организаций с участием Орловской области и организаций, осуществляющих регулируемые виды деятельности»</w:t>
            </w:r>
          </w:p>
        </w:tc>
      </w:tr>
      <w:tr>
        <w:trPr>
          <w:trHeight w:val="441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АО «Орёлоблэнерго»</w:t>
            </w:r>
          </w:p>
        </w:tc>
      </w:tr>
      <w:tr>
        <w:trPr>
          <w:trHeight w:val="438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АО «Орёлоблэнерго»</w:t>
            </w:r>
          </w:p>
        </w:tc>
      </w:tr>
      <w:tr>
        <w:trPr>
          <w:trHeight w:val="764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год</w:t>
            </w:r>
          </w:p>
        </w:tc>
      </w:tr>
      <w:tr>
        <w:trPr>
          <w:trHeight w:val="1398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Оптимизация потребления и повышение эффективности использования энергетических ресурсов, снижение оплаты за потребление энергетических ресурсов </w:t>
            </w:r>
          </w:p>
        </w:tc>
      </w:tr>
      <w:tr>
        <w:trPr>
          <w:trHeight w:val="413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АО «Орёлоблэнерго»</w:t>
            </w:r>
          </w:p>
        </w:tc>
      </w:tr>
      <w:tr>
        <w:trPr>
          <w:trHeight w:val="2614" w:hRule="atLeast"/>
          <w:cantSplit w:val="false"/>
        </w:trPr>
        <w:tc>
          <w:tcPr>
            <w:tcW w:w="3165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6892" w:type="dxa"/>
            <w:tcBorders>
              <w:top w:val="nil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Style21"/>
              <w:snapToGrid w:val="false"/>
              <w:spacing w:lineRule="atLeast" w:line="100"/>
              <w:rPr>
                <w:rStyle w:val="Style17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Стратегия АО «Орёлоблэнерго» в вопросах энергосбережения и повышения энергетической  эффективности.</w:t>
            </w:r>
          </w:p>
          <w:p>
            <w:pPr>
              <w:pStyle w:val="Style21"/>
              <w:snapToGrid w:val="false"/>
              <w:spacing w:lineRule="atLeast" w:line="100"/>
              <w:rPr>
                <w:rStyle w:val="Style17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Механизмы энергосбережения и повышения энергетической эффективности.</w:t>
            </w:r>
          </w:p>
          <w:p>
            <w:pPr>
              <w:pStyle w:val="Style21"/>
              <w:snapToGrid w:val="false"/>
              <w:spacing w:lineRule="atLeast" w:line="100" w:before="0" w:after="120"/>
              <w:rPr>
                <w:rStyle w:val="Style17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Style w:val="Style17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Мероприятия по энергосбережению и повышению энергетической эффективности.</w:t>
            </w:r>
          </w:p>
        </w:tc>
      </w:tr>
      <w:tr>
        <w:trPr>
          <w:trHeight w:val="1080" w:hRule="atLeast"/>
          <w:cantSplit w:val="false"/>
        </w:trPr>
        <w:tc>
          <w:tcPr>
            <w:tcW w:w="31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Собственные средства;</w:t>
            </w:r>
          </w:p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инвестиции (привлечение средств);</w:t>
            </w:r>
          </w:p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 муниципальных образований.</w:t>
            </w:r>
          </w:p>
        </w:tc>
      </w:tr>
      <w:tr>
        <w:trPr>
          <w:trHeight w:val="1755" w:hRule="atLeast"/>
          <w:cantSplit w:val="false"/>
        </w:trPr>
        <w:tc>
          <w:tcPr>
            <w:tcW w:w="31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47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89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Сокращение расходов на оплату энергоресурсов.</w:t>
            </w:r>
          </w:p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Прекращение безучетного потребления энергоресурсов.</w:t>
            </w:r>
          </w:p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Исключение нерационального использования энергоресурсов.</w:t>
            </w:r>
          </w:p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Внедрение механизмов стимулирования сотрудников в зависимости от личного участия в энергосбережении.</w:t>
            </w:r>
          </w:p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Паспортизация зданий, сооружений и технологического процесса передачи электроэнергии по результатам проведения энергетических обследований.</w:t>
            </w:r>
          </w:p>
        </w:tc>
      </w:tr>
      <w:tr>
        <w:trPr>
          <w:trHeight w:val="755" w:hRule="atLeast"/>
          <w:cantSplit w:val="false"/>
        </w:trPr>
        <w:tc>
          <w:tcPr>
            <w:tcW w:w="31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nil"/>
              <w:insideV w:val="nil"/>
            </w:tcBorders>
            <w:shd w:fill="auto" w:val="clear"/>
            <w:tcMar>
              <w:left w:w="52" w:type="dxa"/>
            </w:tcMar>
          </w:tcPr>
          <w:p>
            <w:pPr>
              <w:pStyle w:val="Style26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napToGrid w:val="false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Управление по тарифам Орловской области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1"/>
        <w:jc w:val="center"/>
        <w:rPr/>
      </w:pPr>
      <w:r>
        <w:rPr/>
      </w:r>
    </w:p>
    <w:p>
      <w:pPr>
        <w:pStyle w:val="Style25"/>
        <w:spacing w:lineRule="atLeast" w:line="100"/>
        <w:ind w:left="0" w:right="0" w:firstLine="570"/>
        <w:jc w:val="both"/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  <w:t xml:space="preserve">Настоящая программа является разработкой электросетевой организации АО «Орёлоблэнерго» (далее по тексту Орёлоблэнерго) в соответствии с Федеральным законом Российской Федерации от 23 февраля 2009г. №261-ФЗ «Об энергосбережениии и повышении энергетической эффективности и о внесении изменений в отдельные законодательные акты Российской Федерации»,  Приказом министерства экономического развития от 17.02.2010г. №61 с учётом планируемых к разработке региональной и муниципальных программ, Постановлением Правительства РФ от 15.05.2010г. №340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Орловской области от 03.06.2010г. №182 «Об утверждении требований к программам по энергосбережению и повышению энергетической эффективности организаций с участием Орловской области и организаций, осуществляющих регулируемые виды деятельности». </w:t>
      </w:r>
    </w:p>
    <w:p>
      <w:pPr>
        <w:pStyle w:val="Style25"/>
        <w:spacing w:lineRule="atLeast" w:line="100"/>
        <w:ind w:left="0" w:right="0" w:firstLine="570"/>
        <w:jc w:val="both"/>
        <w:rPr/>
      </w:pPr>
      <w:r>
        <w:rPr/>
      </w:r>
    </w:p>
    <w:p>
      <w:pPr>
        <w:pStyle w:val="Style25"/>
        <w:spacing w:lineRule="atLeast" w:line="100"/>
        <w:ind w:left="0" w:right="0" w:firstLine="570"/>
        <w:jc w:val="both"/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  <w:t xml:space="preserve">Повышение энергоэффективности применительно к деятельности сетевой организации можно рассматривать как степень совершенства электросетевого комплекса, которая зависит от обеспечения надёжного снабжения потребителей электрической энергией требуемого качества при минимальных затратах на её преобразование, передачу и распределение. </w:t>
      </w:r>
    </w:p>
    <w:p>
      <w:pPr>
        <w:pStyle w:val="Style25"/>
        <w:spacing w:lineRule="atLeast" w:line="100"/>
        <w:ind w:left="0" w:right="0" w:firstLine="570"/>
        <w:jc w:val="both"/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  <w:t>Запасы такого ресурса, как энергоэффективность, в нашей стране огромны. В общей сложности Россия может сэкономить 45% своего первичного потребления энергии. Энергетическая стратегия нашей страны до 2030г. предусматривает кардинальную модернизацию электросетевого комплекса, что открывает новые возможности для гибкого дистанционного и автоматического управления</w:t>
      </w:r>
      <w:r>
        <w:rPr>
          <w:rStyle w:val="Style16"/>
          <w:rFonts w:cs="Times New Roman" w:ascii="Times New Roman" w:hAnsi="Times New Roman"/>
          <w:i/>
          <w:iCs/>
          <w:color w:val="000000"/>
          <w:sz w:val="28"/>
          <w:szCs w:val="28"/>
          <w:u w:val="none"/>
        </w:rPr>
        <w:t xml:space="preserve"> </w:t>
      </w:r>
      <w:r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  <w:t xml:space="preserve">технологическими процессами электросетевого комплекса. Одними из основных причин всех крупных аварий в энергосети в прошлом и настоящем можно назвать отсутствие достоверной информации о состоянии энергообъектов и несовершенство инструментария управления. </w:t>
      </w:r>
    </w:p>
    <w:p>
      <w:pPr>
        <w:pStyle w:val="Style25"/>
        <w:spacing w:lineRule="atLeast" w:line="100"/>
        <w:ind w:left="0" w:right="0" w:firstLine="570"/>
        <w:jc w:val="both"/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  <w:t xml:space="preserve">Вклад технологического фактора (в частности повышение энергоэффективности за счёт модернизации и замены оборудования) в снижение энергоёмкости ВВП, по оценкам Минэкономразвития в 2002 — 2007гг. составил лишь 1% в год. Но добиться энергосбережения только за счёт полной модернизации всех объектов электросетевого хозяйства нереально, поскольку на эти капиталоёмкие цели потребуется громадное количество денежных средств. Кроме технологических инноваций необходимо создание экономических стимулов энергосбережения. </w:t>
      </w:r>
    </w:p>
    <w:p>
      <w:pPr>
        <w:pStyle w:val="Style25"/>
        <w:spacing w:lineRule="atLeast" w:line="100"/>
        <w:ind w:left="0" w:right="0" w:firstLine="570"/>
        <w:jc w:val="both"/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</w:pPr>
      <w:r>
        <w:rPr>
          <w:rStyle w:val="Style16"/>
          <w:rFonts w:cs="Times New Roman" w:ascii="Times New Roman" w:hAnsi="Times New Roman"/>
          <w:color w:val="000000"/>
          <w:sz w:val="28"/>
          <w:szCs w:val="28"/>
          <w:u w:val="none"/>
        </w:rPr>
        <w:t xml:space="preserve">Для электросетевых организаций такими стимулами могут быть, кроме экономии за счёт сокращения потерь электроэнергии при её передаче по сетям, ещё и создание необходимой технологической инфраструктуры для обеспечения работы рыночных отношений, стимулирующих потребителей и производителей электроэнергии к энергоэффективности. </w:t>
      </w:r>
    </w:p>
    <w:p>
      <w:pPr>
        <w:pStyle w:val="Style21"/>
        <w:spacing w:lineRule="atLeast" w:line="100"/>
        <w:jc w:val="center"/>
        <w:rPr/>
      </w:pPr>
      <w:r>
        <w:rPr/>
      </w:r>
    </w:p>
    <w:p>
      <w:pPr>
        <w:pStyle w:val="Style21"/>
        <w:spacing w:lineRule="atLeast" w:line="100"/>
        <w:jc w:val="center"/>
        <w:rPr>
          <w:rStyle w:val="Style17"/>
          <w:rFonts w:eastAsia="Times New Roman" w:cs="Times New Roman" w:ascii="Times New Roman" w:hAnsi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sz w:val="28"/>
          <w:szCs w:val="28"/>
        </w:rPr>
        <w:t xml:space="preserve">       </w:t>
      </w:r>
    </w:p>
    <w:p>
      <w:pPr>
        <w:pStyle w:val="Style21"/>
        <w:spacing w:lineRule="atLeast" w:line="100"/>
        <w:jc w:val="center"/>
        <w:rPr/>
      </w:pPr>
      <w:r>
        <w:rPr/>
      </w:r>
    </w:p>
    <w:p>
      <w:pPr>
        <w:pStyle w:val="Style21"/>
        <w:spacing w:lineRule="atLeast" w:line="100"/>
        <w:ind w:left="0" w:right="0" w:hanging="0"/>
        <w:jc w:val="center"/>
        <w:rPr>
          <w:rStyle w:val="Style17"/>
          <w:rFonts w:cs="Times New Roman" w:ascii="Times New Roman" w:hAnsi="Times New Roman"/>
          <w:sz w:val="28"/>
          <w:szCs w:val="28"/>
        </w:rPr>
      </w:pPr>
      <w:r>
        <w:rPr>
          <w:rStyle w:val="Style17"/>
          <w:rFonts w:cs="Times New Roman" w:ascii="Times New Roman" w:hAnsi="Times New Roman"/>
          <w:sz w:val="28"/>
          <w:szCs w:val="28"/>
        </w:rPr>
        <w:t>Стратегия энергосбережения и повышения энергетической  эффективности</w:t>
      </w:r>
    </w:p>
    <w:p>
      <w:pPr>
        <w:pStyle w:val="Style21"/>
        <w:spacing w:lineRule="atLeast" w:line="100"/>
        <w:jc w:val="center"/>
        <w:rPr>
          <w:rStyle w:val="Style17"/>
          <w:rFonts w:cs="Times New Roman" w:ascii="Times New Roman" w:hAnsi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Style w:val="Style17"/>
          <w:rFonts w:cs="Times New Roman" w:ascii="Times New Roman" w:hAnsi="Times New Roman"/>
          <w:sz w:val="28"/>
          <w:szCs w:val="28"/>
        </w:rPr>
        <w:t>и основные направления по реализации Программы</w:t>
      </w:r>
    </w:p>
    <w:p>
      <w:pPr>
        <w:pStyle w:val="Style2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Для  электросетевого комплекса энергоэффективность, то есть «степень совершенства», должна измеряться: в сокращении потерь, в уменьшении количества сетевых ограничений, снижении коэффициента простоя, в сокращении количества технологических отказов и аварийных отключений и проч. Достижение совершенства обеспечивается гармоничным развитием электросетей, которое можно рассматривать в четырех плоскостях:</w:t>
      </w:r>
    </w:p>
    <w:p>
      <w:pPr>
        <w:pStyle w:val="Style21"/>
        <w:numPr>
          <w:ilvl w:val="0"/>
          <w:numId w:val="2"/>
        </w:numPr>
        <w:tabs>
          <w:tab w:val="left" w:pos="7070" w:leader="none"/>
        </w:tabs>
        <w:spacing w:before="0" w:after="0"/>
        <w:ind w:left="707" w:right="0" w:hanging="28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Плоскость технологии через управление технической политикой </w:t>
      </w:r>
    </w:p>
    <w:p>
      <w:pPr>
        <w:pStyle w:val="Style21"/>
        <w:numPr>
          <w:ilvl w:val="0"/>
          <w:numId w:val="2"/>
        </w:numPr>
        <w:tabs>
          <w:tab w:val="left" w:pos="7070" w:leader="none"/>
        </w:tabs>
        <w:spacing w:before="0" w:after="0"/>
        <w:ind w:left="707" w:right="0" w:hanging="28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Плоскость управления через политику управления электросетями нового поколения </w:t>
      </w:r>
    </w:p>
    <w:p>
      <w:pPr>
        <w:pStyle w:val="Style21"/>
        <w:numPr>
          <w:ilvl w:val="0"/>
          <w:numId w:val="2"/>
        </w:numPr>
        <w:tabs>
          <w:tab w:val="left" w:pos="7070" w:leader="none"/>
        </w:tabs>
        <w:spacing w:before="0" w:after="0"/>
        <w:ind w:left="707" w:right="0" w:hanging="28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Плоскость модернизации и реконструкции объектов электросетевого хозяйства</w:t>
      </w:r>
    </w:p>
    <w:p>
      <w:pPr>
        <w:pStyle w:val="Style21"/>
        <w:numPr>
          <w:ilvl w:val="0"/>
          <w:numId w:val="2"/>
        </w:numPr>
        <w:tabs>
          <w:tab w:val="left" w:pos="7070" w:leader="none"/>
        </w:tabs>
        <w:ind w:left="707" w:right="0" w:hanging="28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Плоскость законодательного регулирования для создания мотивации повышения энергоэффективности. </w:t>
      </w:r>
    </w:p>
    <w:p>
      <w:pPr>
        <w:pStyle w:val="Style2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1. Плоскость технологии предусматривает: </w:t>
      </w:r>
    </w:p>
    <w:p>
      <w:pPr>
        <w:pStyle w:val="Style21"/>
        <w:tabs>
          <w:tab w:val="left" w:pos="7070" w:leader="none"/>
        </w:tabs>
        <w:spacing w:before="0" w:after="0"/>
        <w:ind w:left="42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Современные «гибкие» сети ( для Орёлоблэнерго - сети 6-10/0,4 кВ), наличие возможности диспетчерской службе дистанционного управления элементами сети (коммутационными аппаратами трансформаторных подстанций 6-10/0,4 кВ, распределительных пунктов, реклоузеров и др.). </w:t>
      </w:r>
    </w:p>
    <w:p>
      <w:pPr>
        <w:pStyle w:val="Style21"/>
        <w:tabs>
          <w:tab w:val="left" w:pos="7070" w:leader="none"/>
        </w:tabs>
        <w:ind w:left="42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Адаптивную распределенную защиту линий, автоматику деления сети, автоматическое восстановление сети, систему мониторинга переходных режимов и проч. </w:t>
      </w:r>
    </w:p>
    <w:p>
      <w:pPr>
        <w:pStyle w:val="Style21"/>
        <w:ind w:left="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Плоскость управления должна обеспечить максимально полное использование потенциала плоскости технологий. Для этого необходимы современные системы управления, комплекс программно-аппаратных средств, позволяющий:</w:t>
      </w:r>
    </w:p>
    <w:p>
      <w:pPr>
        <w:pStyle w:val="Style21"/>
        <w:tabs>
          <w:tab w:val="left" w:pos="7070" w:leader="none"/>
        </w:tabs>
        <w:spacing w:before="0" w:after="0"/>
        <w:ind w:left="42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Обрабатывать потоки информации в режиме реального времени (РРВ) </w:t>
      </w:r>
    </w:p>
    <w:p>
      <w:pPr>
        <w:pStyle w:val="Style21"/>
        <w:tabs>
          <w:tab w:val="left" w:pos="7070" w:leader="none"/>
        </w:tabs>
        <w:spacing w:before="0" w:after="0"/>
        <w:ind w:left="42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Видеть и поддерживать многоуровневые и многомерные математические модели сети </w:t>
      </w:r>
    </w:p>
    <w:p>
      <w:pPr>
        <w:pStyle w:val="Style21"/>
        <w:tabs>
          <w:tab w:val="left" w:pos="7070" w:leader="none"/>
        </w:tabs>
        <w:spacing w:before="0" w:after="0"/>
        <w:ind w:left="42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Дистанционно, а в перспективе - автоматически управлять перетоками мощности </w:t>
      </w:r>
    </w:p>
    <w:p>
      <w:pPr>
        <w:pStyle w:val="Style21"/>
        <w:tabs>
          <w:tab w:val="left" w:pos="7070" w:leader="none"/>
        </w:tabs>
        <w:ind w:left="424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Экспертно - аналитически поддерживать действия диспетчера </w:t>
      </w:r>
    </w:p>
    <w:p>
      <w:pPr>
        <w:pStyle w:val="Style21"/>
        <w:ind w:left="0" w:right="0" w:firstLine="45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Уровень развития современных коммуникационных технологий, технологий автоматизированного управления технологическими процессами, позволяет уже сейчас ставить вопрос о перспективе создания и развития интеллектуальных («умных») элементов электросетей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Элементы «умных сетей» уже появляются на объектах электросетевого хозяйства Орёлоблэнерго (</w:t>
      </w:r>
      <w:r>
        <w:rPr>
          <w:rFonts w:cs="Times New Roman" w:ascii="Times New Roman" w:hAnsi="Times New Roman"/>
          <w:sz w:val="28"/>
          <w:szCs w:val="28"/>
          <w:lang w:val="en-US"/>
        </w:rPr>
        <w:t>SMART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APLM</w:t>
      </w:r>
      <w:r>
        <w:rPr>
          <w:rFonts w:cs="Times New Roman" w:ascii="Times New Roman" w:hAnsi="Times New Roman"/>
          <w:sz w:val="28"/>
          <w:szCs w:val="28"/>
        </w:rPr>
        <w:t>) на уровне объектов, развиваются телекоммуникационные сети.</w:t>
      </w:r>
    </w:p>
    <w:p>
      <w:pPr>
        <w:pStyle w:val="Style21"/>
        <w:ind w:left="0" w:right="0" w:firstLine="585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Плоскость модернизации и реконструкции,  сетей кроме создания управляемых объектов электросетевого хозяйства предусматривает:</w:t>
      </w:r>
    </w:p>
    <w:p>
      <w:pPr>
        <w:pStyle w:val="Style21"/>
        <w:ind w:left="30" w:right="0" w:firstLine="5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надёжных сетей, менее подверженных воздействию нормальных и экстремальных погодных условий (ВЛИ, ВЛЗ), сводящих до минимума технические потери при передаче электрической энергии, существенно сокращающих перебои в электроснабжении, снижающих эксплуатационные затраты и вероятность электротравматизма; </w:t>
      </w:r>
    </w:p>
    <w:p>
      <w:pPr>
        <w:pStyle w:val="Style21"/>
        <w:ind w:left="45" w:right="0" w:firstLine="495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оборудование коммутационными аппаратами подстанций и распределительных пунктов 6-10кВ с высокими коммутационными способностями (вакуумные, элегазовые и др. выключатели), не требующими частого и объёмного технического обслуживания и ремонта, способными многократно, без существенных последствий отключать сверхтоки (в т.ч. и токи К.З.);</w:t>
      </w:r>
    </w:p>
    <w:p>
      <w:pPr>
        <w:pStyle w:val="Style21"/>
        <w:ind w:left="15" w:right="0" w:firstLine="525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применение многофункциональных микропроцессорных устройств защиты электросетевых объектов взамен устаревших релейных схем, позволяющих при необходимости дистанционно изменять величины уставок защиты при изменении нормально принятой схемы;</w:t>
      </w:r>
    </w:p>
    <w:p>
      <w:pPr>
        <w:pStyle w:val="Style21"/>
        <w:ind w:left="30" w:right="0" w:firstLine="495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применение ремонтных комплектов нового поколения для кабельных сетей, позволяющих в 2-3 раза сократить время ремонта КЛ и восстановления нормальных схем электроснабжения потребителей электроэнергии.</w:t>
      </w:r>
    </w:p>
    <w:p>
      <w:pPr>
        <w:pStyle w:val="Style21"/>
        <w:ind w:left="0" w:right="0" w:firstLine="555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Осуществление передачи по  сетям Орёлоблэнерго ежегодно увеличивающегося объёма электроэнергии, с обеспечением при этом необходимого нормативного резерва мощности в 17% — весьма капиталоемкая задача. Поэтому уже сейчас все более актуальным становится вопрос введения в действие норм закона  № 261-ФЗ от 23.11.2009г. по созданию правовых, экономических и организационных основ стимулирования энергосбережения и энергетической эффективности. Соответственно, формирование Программы и планов модернизации объектов электросетевого хозяйства требует правильной расстановки приоритетов.</w:t>
      </w:r>
    </w:p>
    <w:p>
      <w:pPr>
        <w:pStyle w:val="Style21"/>
        <w:ind w:left="0" w:right="0" w:firstLine="57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left="0" w:right="0" w:firstLine="69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Механизмы энергосбережения и повышения энергетической                                     эффективности.</w:t>
      </w:r>
    </w:p>
    <w:p>
      <w:pPr>
        <w:pStyle w:val="Normal"/>
        <w:ind w:left="0" w:right="0" w:firstLine="72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Механизмы энергосбережения при передаче и распределении электрической энергии включают в себя организационные и технические действия, проводимые при эксплуатации, текущем ремонте, реконструкции и новом строительстве электрических сетей и объектов электросетевого хозяйства.</w:t>
      </w:r>
    </w:p>
    <w:p>
      <w:pPr>
        <w:pStyle w:val="Normal"/>
        <w:ind w:left="0" w:right="0" w:firstLine="73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</w:r>
    </w:p>
    <w:p>
      <w:pPr>
        <w:pStyle w:val="Normal"/>
        <w:ind w:left="0" w:right="0" w:firstLine="73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Организационные: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достоверного и своевременного ежемесячного снятия показаний приборов коммерческого учета у потребителей — юридических лиц в установленные сроки, проверка их технического состояния;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достоверного и своевременного снятия показаний приборов учета и проверка их технического состояния на распределительных пунктах и трансформаторных подстанциях;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и анализ балансов электроэнергии по подстанциям, устранение небаланса;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оптимального маршрута при снятии показаний счетчиков;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проверок и обеспечение своевременности и правильности снятия показаний счетчиков;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энергетических обследований зданий и сооружений Орёлоблэнерго, технологического процесса передачи электроэнергии по электрическим сетям.</w:t>
      </w:r>
    </w:p>
    <w:p>
      <w:pPr>
        <w:pStyle w:val="Normal"/>
        <w:ind w:left="0" w:right="0" w:firstLine="73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</w:r>
    </w:p>
    <w:p>
      <w:pPr>
        <w:pStyle w:val="Normal"/>
        <w:ind w:left="0" w:right="0" w:firstLine="70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Оптимизация режимов электрических сетей и совершенствование их эксплуатации: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оптимизация схемных режимов и мест размыкания линий 6-10 кВ с двусторонним питанием;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оптимизация установившихся режимов электрических сетей по активной и реактивной мощности;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отключение трансформаторов в режимах малых нагрузок на двухтрансформаторных подстанциях;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отключение трансформаторов на подстанциях с сезонной нагрузкой;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выравнивание нагрузок фаз в электрических сетях 0,38 кВ;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выполнение ремонтных и эксплуатационных работ под напряжением;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сокращение продолжительности технического обслуживания и ремонта основного оборудования сетей линий, трансформаторов.</w:t>
      </w:r>
    </w:p>
    <w:p>
      <w:pPr>
        <w:pStyle w:val="Normal"/>
        <w:ind w:left="0" w:right="0" w:firstLine="70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</w:r>
    </w:p>
    <w:p>
      <w:pPr>
        <w:pStyle w:val="Normal"/>
        <w:ind w:left="0" w:right="0" w:firstLine="70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Строительство, реконструкция и развитие электрических сетей, ввод в работу энергосберегающего оборудования: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и ввод в работу устройств компенсации реактивной мощности в электрических сетях;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замена проводов на перегруженных линиях;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замена ответвлений от ВЛ-0,38 кВ к зданиям;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замена перегруженных, установка и ввод в эксплуатацию дополнительных силовых трансформаторов на действующих подстанциях;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замена недогруженных силовых трансформаторов;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замена изношенных силовых трансформаторов на новые;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оптимизация загрузки электрических сетей за счет строительства линий и подстанций;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перевод на более высокое номинальное напряжение линий и подстанций;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разукрупнение распределительных линий 0,38 — 10 кВ;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автоматизации и дистанционного управления электрическими распределительными сетями напряжением 6-10 кВ.</w:t>
      </w:r>
    </w:p>
    <w:p>
      <w:pPr>
        <w:pStyle w:val="Normal"/>
        <w:ind w:left="0" w:right="-45" w:firstLine="735"/>
        <w:jc w:val="both"/>
        <w:rPr>
          <w:rFonts w:cs="Times New Roman" w:ascii="Times New Roman" w:hAnsi="Times New Roman"/>
          <w:i/>
          <w:iCs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Совершенствование метрологического обеспечения измерений для расчетного и технического учета электроэнергии: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паспортов-протоколов измерительных комплексов учета электроэнергии;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фактических рабочих условий применения средств измерений для каждого измерительного комплекса;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схем соединения измерительных ТТ, ТН и счетчиков;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счетчиков электроэнергии;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калибровка счетчиков электроэнергии;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ремонт счетчиков;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ТТ в условиях эксплуатации, в том числе с фактическими значениями вторичной нагрузки;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ТН в условиях эксплуатации, в том числе с фактическими значениями мощности нагрузки;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недогрузки или перегрузки ТТ;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недогрузки или перегрузки ТН;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недопустимых потерь напряжения в линиях соединения счетчиков с ТН;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компенсация индуктивной нагрузки ТН;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счетчиков технического учета на границах электрических сетей;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недостающих счетчиков ТТ, ТН;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системы энергоучета с классом точности приборов учета не ниже 1.0.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потребителей электроэнергии, искажающих качество электроэнергии;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разработка и ввод в действие автоматизированных систем контроля и учета электроэнергии (АСКУЭ);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счетчиков прямого включения в сетях 0,38 кВ при токах нагрузки до 60-100А.</w:t>
      </w:r>
    </w:p>
    <w:p>
      <w:pPr>
        <w:pStyle w:val="Normal"/>
        <w:spacing w:lineRule="auto" w:line="360"/>
        <w:ind w:left="-15" w:right="0" w:firstLine="3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spacing w:lineRule="auto" w:line="360"/>
        <w:ind w:left="-15" w:right="0" w:firstLine="69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Конечными результатами реализации мероприятий программы </w:t>
      </w:r>
    </w:p>
    <w:p>
      <w:pPr>
        <w:pStyle w:val="Normal"/>
        <w:spacing w:lineRule="auto" w:line="360"/>
        <w:ind w:left="-15" w:right="0" w:firstLine="690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должны стать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энергетических паспортов зданий, сооружений  Орёлоблэнерго и технологического процесса передачи электроэнергии по электрическим сетям на основании результатов энергетических обследований;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исключение нерационального расходования энергетических ресурсов;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сокращение расходов по оплате энергоресурсов, потребляемых на собствен-ные нужды Орёлоблэнерго, и на приобретение потерь электроэнергии при её передаче по электрическим сетям;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прекращение безучётного потребления электрической энергии;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эффективной структуры управления, мониторинга и контроля  энергосбережения в Орёлоблэнерго;</w:t>
      </w:r>
    </w:p>
    <w:p>
      <w:pPr>
        <w:pStyle w:val="Normal"/>
        <w:numPr>
          <w:ilvl w:val="0"/>
          <w:numId w:val="1"/>
        </w:numPr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внедрение механизмов стимулирования сотрудников  Орёлоблэнерго в зависимости от личного участия в энергосбережении.</w:t>
      </w:r>
    </w:p>
    <w:p>
      <w:pPr>
        <w:pStyle w:val="Normal"/>
        <w:ind w:left="360" w:right="0" w:hanging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360" w:right="0" w:hanging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36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60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Главный инженер                                                                                  В.А.Тимохин       </w:t>
      </w:r>
    </w:p>
    <w:p>
      <w:pPr>
        <w:pStyle w:val="Normal"/>
        <w:ind w:left="360" w:right="0" w:hanging="0"/>
        <w:jc w:val="both"/>
        <w:rPr>
          <w:rFonts w:eastAsia="Times New Roman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</w:t>
      </w:r>
    </w:p>
    <w:sectPr>
      <w:type w:val="nextPage"/>
      <w:pgSz w:w="11906" w:h="16838"/>
      <w:pgMar w:left="1134" w:right="73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0"/>
    <w:family w:val="auto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Arial" w:hAnsi="Arial" w:eastAsia="Lucida Sans Unicode" w:cs="Arial"/>
      <w:color w:val="auto"/>
      <w:sz w:val="20"/>
      <w:szCs w:val="24"/>
      <w:lang w:val="ru-RU" w:eastAsia="zh-CN" w:bidi="ar-SA"/>
    </w:rPr>
  </w:style>
  <w:style w:type="character" w:styleId="WW8Num1z0">
    <w:name w:val="WW8Num1z0"/>
    <w:rPr>
      <w:rFonts w:ascii="Symbol" w:hAnsi="Symbol" w:cs="OpenSymbol;Arial Unicode MS"/>
      <w:sz w:val="28"/>
      <w:szCs w:val="28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OpenSymbol;Arial Unicode M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Symbol" w:hAnsi="Symbol" w:cs="OpenSymbol;Arial Unicode MS"/>
    </w:rPr>
  </w:style>
  <w:style w:type="character" w:styleId="WW8Num5z0">
    <w:name w:val="WW8Num5z0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Style14">
    <w:name w:val="Основной шрифт абзаца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8Num6z0">
    <w:name w:val="WW8Num6z0"/>
    <w:rPr>
      <w:rFonts w:ascii="Symbol" w:hAnsi="Symbol" w:cs="OpenSymbol;Arial Unicode MS"/>
    </w:rPr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AbsatzStandardschriftart1111111111111111111111111">
    <w:name w:val="WW-Absatz-Standardschriftart1111111111111111111111111"/>
    <w:rPr/>
  </w:style>
  <w:style w:type="character" w:styleId="WWAbsatzStandardschriftart11111111111111111111111111">
    <w:name w:val="WW-Absatz-Standardschriftart11111111111111111111111111"/>
    <w:rPr/>
  </w:style>
  <w:style w:type="character" w:styleId="WWAbsatzStandardschriftart111111111111111111111111111">
    <w:name w:val="WW-Absatz-Standardschriftart111111111111111111111111111"/>
    <w:rPr/>
  </w:style>
  <w:style w:type="character" w:styleId="WWAbsatzStandardschriftart1111111111111111111111111111">
    <w:name w:val="WW-Absatz-Standardschriftart1111111111111111111111111111"/>
    <w:rPr/>
  </w:style>
  <w:style w:type="character" w:styleId="WWAbsatzStandardschriftart11111111111111111111111111111">
    <w:name w:val="WW-Absatz-Standardschriftart11111111111111111111111111111"/>
    <w:rPr/>
  </w:style>
  <w:style w:type="character" w:styleId="Style15">
    <w:name w:val="Маркеры списка"/>
    <w:rPr>
      <w:rFonts w:ascii="OpenSymbol;Arial Unicode MS" w:hAnsi="OpenSymbol;Arial Unicode MS" w:eastAsia="OpenSymbol;Arial Unicode MS" w:cs="OpenSymbol;Arial Unicode MS"/>
    </w:rPr>
  </w:style>
  <w:style w:type="character" w:styleId="Style16">
    <w:name w:val="Интернет-ссылка"/>
    <w:rPr>
      <w:color w:val="000080"/>
      <w:u w:val="single"/>
    </w:rPr>
  </w:style>
  <w:style w:type="character" w:styleId="Style17">
    <w:name w:val="Выделение жирным"/>
    <w:rPr>
      <w:b/>
      <w:bCs/>
    </w:rPr>
  </w:style>
  <w:style w:type="character" w:styleId="Style18">
    <w:name w:val="Символ нумерации"/>
    <w:rPr/>
  </w:style>
  <w:style w:type="character" w:styleId="Style19">
    <w:name w:val="Текст выноски Знак"/>
    <w:rPr>
      <w:rFonts w:ascii="Tahoma" w:hAnsi="Tahoma" w:eastAsia="Lucida Sans Unicode" w:cs="Tahoma"/>
      <w:sz w:val="16"/>
      <w:szCs w:val="16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Arial" w:hAnsi="Arial" w:eastAsia="MS Mincho;MS Gothic" w:cs="Tahoma"/>
      <w:sz w:val="28"/>
      <w:szCs w:val="28"/>
    </w:rPr>
  </w:style>
  <w:style w:type="paragraph" w:styleId="Style21">
    <w:name w:val="Основной текст"/>
    <w:basedOn w:val="Normal"/>
    <w:pPr>
      <w:spacing w:before="0" w:after="120"/>
    </w:pPr>
    <w:rPr/>
  </w:style>
  <w:style w:type="paragraph" w:styleId="Style22">
    <w:name w:val="Список"/>
    <w:basedOn w:val="Style21"/>
    <w:pPr/>
    <w:rPr>
      <w:rFonts w:ascii="Arial" w:hAnsi="Arial"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1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styleId="Style25">
    <w:name w:val="Текст в заданном формате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Style26">
    <w:name w:val="Содержимое таблицы"/>
    <w:basedOn w:val="Normal"/>
    <w:pPr>
      <w:suppressLineNumbers/>
    </w:pPr>
    <w:rPr/>
  </w:style>
  <w:style w:type="paragraph" w:styleId="Style27">
    <w:name w:val="Заголовок таблицы"/>
    <w:basedOn w:val="Style26"/>
    <w:pPr>
      <w:suppressLineNumbers/>
      <w:jc w:val="center"/>
    </w:pPr>
    <w:rPr>
      <w:b/>
      <w:bCs/>
    </w:rPr>
  </w:style>
  <w:style w:type="paragraph" w:styleId="Style28">
    <w:name w:val="Схема документа"/>
    <w:basedOn w:val="Normal"/>
    <w:pPr>
      <w:shd w:fill="000080" w:val="clear"/>
    </w:pPr>
    <w:rPr>
      <w:rFonts w:ascii="Tahoma" w:hAnsi="Tahoma" w:cs="Tahoma"/>
      <w:szCs w:val="20"/>
    </w:rPr>
  </w:style>
  <w:style w:type="paragraph" w:styleId="Style29">
    <w:name w:val="Текст выноски"/>
    <w:basedOn w:val="Normal"/>
    <w:pPr/>
    <w:rPr>
      <w:rFonts w:ascii="Tahoma" w:hAnsi="Tahoma" w:cs="Tahoma"/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2009-03-24T10:11:00Z</dcterms:created>
  <dc:language>ru-RU</dc:language>
  <cp:lastPrinted>2018-04-16T08:41:00Z</cp:lastPrinted>
  <dcterms:modified xsi:type="dcterms:W3CDTF">2019-02-28T11:16:40Z</dcterms:modified>
  <cp:revision>21</cp:revision>
</cp:coreProperties>
</file>