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B" w:rsidRPr="00567DB9" w:rsidRDefault="005A392B" w:rsidP="005A392B">
      <w:pPr>
        <w:ind w:left="4536"/>
        <w:rPr>
          <w:rFonts w:cs="Helios-Regular"/>
          <w:b/>
          <w:color w:val="FFFFFF" w:themeColor="background1"/>
        </w:rPr>
      </w:pPr>
      <w:r w:rsidRPr="00567DB9">
        <w:rPr>
          <w:rFonts w:cs="Helios-Regular"/>
          <w:b/>
          <w:color w:val="FFFFFF" w:themeColor="background1"/>
        </w:rPr>
        <w:t>Утверждаю:</w:t>
      </w:r>
    </w:p>
    <w:p w:rsidR="005A392B" w:rsidRPr="00567DB9" w:rsidRDefault="005A392B" w:rsidP="005A392B">
      <w:pPr>
        <w:ind w:left="4536"/>
        <w:rPr>
          <w:rFonts w:cs="Helios-Regular"/>
          <w:color w:val="FFFFFF" w:themeColor="background1"/>
        </w:rPr>
      </w:pPr>
    </w:p>
    <w:p w:rsidR="00F44771" w:rsidRPr="00567DB9" w:rsidRDefault="00F44771" w:rsidP="005A392B">
      <w:pPr>
        <w:ind w:left="4536"/>
        <w:rPr>
          <w:color w:val="FFFFFF" w:themeColor="background1"/>
        </w:rPr>
      </w:pPr>
      <w:r w:rsidRPr="00567DB9">
        <w:rPr>
          <w:color w:val="FFFFFF" w:themeColor="background1"/>
        </w:rPr>
        <w:t xml:space="preserve">Главный инженер </w:t>
      </w:r>
    </w:p>
    <w:p w:rsidR="005A392B" w:rsidRPr="00567DB9" w:rsidRDefault="00F44771" w:rsidP="005A392B">
      <w:pPr>
        <w:ind w:left="4536"/>
        <w:rPr>
          <w:color w:val="FFFFFF" w:themeColor="background1"/>
        </w:rPr>
      </w:pPr>
      <w:r w:rsidRPr="00567DB9">
        <w:rPr>
          <w:color w:val="FFFFFF" w:themeColor="background1"/>
        </w:rPr>
        <w:t>АО «Орелоблэнерго»</w:t>
      </w:r>
    </w:p>
    <w:p w:rsidR="0047220E" w:rsidRPr="00567DB9" w:rsidRDefault="0047220E" w:rsidP="005A392B">
      <w:pPr>
        <w:ind w:left="4536"/>
        <w:rPr>
          <w:rFonts w:cs="Helios-Regular"/>
          <w:color w:val="FFFFFF" w:themeColor="background1"/>
        </w:rPr>
      </w:pPr>
    </w:p>
    <w:p w:rsidR="005A392B" w:rsidRPr="00567DB9" w:rsidRDefault="005A392B" w:rsidP="005A392B">
      <w:pPr>
        <w:ind w:left="4536"/>
        <w:rPr>
          <w:rFonts w:cs="Helios-Regular"/>
          <w:color w:val="FFFFFF" w:themeColor="background1"/>
          <w:u w:val="single"/>
        </w:rPr>
      </w:pPr>
      <w:r w:rsidRPr="00567DB9">
        <w:rPr>
          <w:rFonts w:cs="Helios-Regular"/>
          <w:color w:val="FFFFFF" w:themeColor="background1"/>
        </w:rPr>
        <w:t>_____________________</w:t>
      </w:r>
      <w:r w:rsidR="00F3291E" w:rsidRPr="00567DB9">
        <w:rPr>
          <w:rFonts w:cs="Helios-Regular"/>
          <w:color w:val="FFFFFF" w:themeColor="background1"/>
        </w:rPr>
        <w:t xml:space="preserve">   </w:t>
      </w:r>
      <w:proofErr w:type="spellStart"/>
      <w:r w:rsidR="00F44771" w:rsidRPr="00567DB9">
        <w:rPr>
          <w:rFonts w:cs="Helios-Regular"/>
          <w:color w:val="FFFFFF" w:themeColor="background1"/>
        </w:rPr>
        <w:t>В.А.Тимохин</w:t>
      </w:r>
      <w:proofErr w:type="spellEnd"/>
    </w:p>
    <w:p w:rsidR="00DB18C0" w:rsidRPr="00567DB9" w:rsidRDefault="00DB18C0" w:rsidP="00D90D1E">
      <w:pPr>
        <w:jc w:val="center"/>
        <w:outlineLvl w:val="0"/>
        <w:rPr>
          <w:color w:val="FFFFFF" w:themeColor="background1"/>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Default="00435870" w:rsidP="00D90D1E">
      <w:pPr>
        <w:jc w:val="center"/>
        <w:outlineLvl w:val="0"/>
      </w:pPr>
      <w:r w:rsidRPr="004C7BA5">
        <w:t>ИЗВЕЩЕНИЕ</w:t>
      </w:r>
      <w:r w:rsidR="00C76AF9" w:rsidRPr="004C7BA5">
        <w:t xml:space="preserve"> № </w:t>
      </w:r>
      <w:r w:rsidR="000C1FB5">
        <w:t>5</w:t>
      </w:r>
      <w:r w:rsidR="00F44771">
        <w:t>/2</w:t>
      </w:r>
      <w:r w:rsidR="00C76AF9" w:rsidRPr="004C7BA5">
        <w:t xml:space="preserve"> от </w:t>
      </w:r>
      <w:r w:rsidR="00F44771">
        <w:t>02</w:t>
      </w:r>
      <w:r w:rsidR="005606A9">
        <w:t xml:space="preserve"> </w:t>
      </w:r>
      <w:r w:rsidR="00F44771">
        <w:t>октября</w:t>
      </w:r>
      <w:r w:rsidR="005606A9">
        <w:t xml:space="preserve"> </w:t>
      </w:r>
      <w:r w:rsidR="00C76AF9" w:rsidRPr="004C7BA5">
        <w:t>2020г</w:t>
      </w:r>
    </w:p>
    <w:p w:rsidR="005606A9" w:rsidRPr="004C7BA5" w:rsidRDefault="005606A9" w:rsidP="00D90D1E">
      <w:pPr>
        <w:jc w:val="center"/>
        <w:outlineLvl w:val="0"/>
      </w:pPr>
    </w:p>
    <w:p w:rsidR="00757D5D" w:rsidRDefault="00B9557A" w:rsidP="00B9557A">
      <w:pPr>
        <w:jc w:val="center"/>
        <w:outlineLvl w:val="0"/>
      </w:pPr>
      <w:r>
        <w:t>о</w:t>
      </w:r>
      <w:r w:rsidRPr="004C7BA5">
        <w:t xml:space="preserve"> проведении открытого аукциона по продаже движимого имущества </w:t>
      </w:r>
    </w:p>
    <w:p w:rsidR="00B9557A" w:rsidRPr="004C7BA5" w:rsidRDefault="00B9557A"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w:t>
      </w:r>
      <w:r w:rsidR="000C1FB5">
        <w:rPr>
          <w:b/>
        </w:rPr>
        <w:t>муфты кабельные</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5606A9">
        <w:rPr>
          <w:highlight w:val="yellow"/>
        </w:rPr>
        <w:t xml:space="preserve">с </w:t>
      </w:r>
      <w:r w:rsidR="00F44771">
        <w:rPr>
          <w:highlight w:val="yellow"/>
        </w:rPr>
        <w:t>05</w:t>
      </w:r>
      <w:r w:rsidR="00340C4D" w:rsidRPr="005606A9">
        <w:rPr>
          <w:highlight w:val="yellow"/>
        </w:rPr>
        <w:t>.</w:t>
      </w:r>
      <w:r w:rsidR="00F44771">
        <w:rPr>
          <w:highlight w:val="yellow"/>
        </w:rPr>
        <w:t>10</w:t>
      </w:r>
      <w:r w:rsidR="00340C4D" w:rsidRPr="005606A9">
        <w:rPr>
          <w:highlight w:val="yellow"/>
        </w:rPr>
        <w:t>.20</w:t>
      </w:r>
      <w:r w:rsidR="0047220E" w:rsidRPr="005606A9">
        <w:rPr>
          <w:highlight w:val="yellow"/>
        </w:rPr>
        <w:t>20</w:t>
      </w:r>
      <w:r w:rsidR="00B24542" w:rsidRPr="005606A9">
        <w:rPr>
          <w:highlight w:val="yellow"/>
        </w:rPr>
        <w:t xml:space="preserve"> года</w:t>
      </w:r>
      <w:r w:rsidR="000C5454" w:rsidRPr="005606A9">
        <w:rPr>
          <w:highlight w:val="yellow"/>
        </w:rPr>
        <w:t xml:space="preserve"> </w:t>
      </w:r>
      <w:r w:rsidR="00287428" w:rsidRPr="005606A9">
        <w:rPr>
          <w:highlight w:val="yellow"/>
        </w:rPr>
        <w:t>до 17-00 ча</w:t>
      </w:r>
      <w:r w:rsidR="005606A9">
        <w:rPr>
          <w:highlight w:val="yellow"/>
        </w:rPr>
        <w:t>сов</w:t>
      </w:r>
      <w:r w:rsidRPr="005606A9">
        <w:rPr>
          <w:highlight w:val="yellow"/>
        </w:rPr>
        <w:t xml:space="preserve"> </w:t>
      </w:r>
      <w:r w:rsidR="00F44771">
        <w:rPr>
          <w:highlight w:val="yellow"/>
        </w:rPr>
        <w:t>10</w:t>
      </w:r>
      <w:r w:rsidR="00340C4D" w:rsidRPr="005606A9">
        <w:rPr>
          <w:highlight w:val="yellow"/>
        </w:rPr>
        <w:t>.</w:t>
      </w:r>
      <w:r w:rsidR="00F44771">
        <w:rPr>
          <w:highlight w:val="yellow"/>
        </w:rPr>
        <w:t>11</w:t>
      </w:r>
      <w:r w:rsidR="0084576C" w:rsidRPr="005606A9">
        <w:rPr>
          <w:highlight w:val="yellow"/>
        </w:rPr>
        <w:t>.20</w:t>
      </w:r>
      <w:r w:rsidR="00FD1963" w:rsidRPr="005606A9">
        <w:rPr>
          <w:highlight w:val="yellow"/>
        </w:rPr>
        <w:t>20</w:t>
      </w:r>
      <w:r w:rsidR="00B24542" w:rsidRPr="005606A9">
        <w:rPr>
          <w:highlight w:val="yellow"/>
        </w:rPr>
        <w:t xml:space="preserve"> года</w:t>
      </w:r>
      <w:r w:rsidR="00B41187" w:rsidRPr="004C7BA5">
        <w:rPr>
          <w:color w:val="7030A0"/>
        </w:rPr>
        <w:t xml:space="preserve"> </w:t>
      </w:r>
      <w:r w:rsidR="00B41187" w:rsidRPr="004C7BA5">
        <w:t>включительно</w:t>
      </w:r>
      <w:r w:rsidRPr="004C7BA5">
        <w:t xml:space="preserve"> в рабочие дни</w:t>
      </w:r>
      <w:r w:rsidR="00D717E4" w:rsidRPr="004C7BA5">
        <w:t xml:space="preserve"> (понедельник-</w:t>
      </w:r>
      <w:r w:rsidR="00D717E4" w:rsidRPr="005606A9">
        <w:t>четверг</w:t>
      </w:r>
      <w:r w:rsidRPr="004C7BA5">
        <w:t xml:space="preserve"> с 8</w:t>
      </w:r>
      <w:r w:rsidR="0070157F" w:rsidRPr="004C7BA5">
        <w:t xml:space="preserve"> ч.00 мин.</w:t>
      </w:r>
      <w:r w:rsidRPr="004C7BA5">
        <w:t xml:space="preserve"> до 1</w:t>
      </w:r>
      <w:r w:rsidR="00B45DDB" w:rsidRPr="004C7BA5">
        <w:t>6</w:t>
      </w:r>
      <w:r w:rsidR="0070157F" w:rsidRPr="004C7BA5">
        <w:t xml:space="preserve"> ч.00 мин.</w:t>
      </w:r>
      <w:r w:rsidR="00D717E4" w:rsidRPr="004C7BA5">
        <w:t>, пятница с 8 ч.00 мин. до 1</w:t>
      </w:r>
      <w:r w:rsidR="00B45DDB" w:rsidRPr="004C7BA5">
        <w:t>5</w:t>
      </w:r>
      <w:r w:rsidR="00D717E4" w:rsidRPr="004C7BA5">
        <w:t xml:space="preserve"> ч.00 мин.</w:t>
      </w:r>
      <w:r w:rsidR="00B45DDB" w:rsidRPr="004C7BA5">
        <w:t xml:space="preserve">, с перерывом на обед с 12 ч. 00 мин. до 12 ч. </w:t>
      </w:r>
      <w:r w:rsidR="0047220E" w:rsidRPr="004C7BA5">
        <w:t>45</w:t>
      </w:r>
      <w:r w:rsidR="00B45DDB" w:rsidRPr="004C7BA5">
        <w:t xml:space="preserve"> мин.</w:t>
      </w:r>
      <w:r w:rsidR="00D717E4" w:rsidRPr="004C7BA5">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4C7BA5">
        <w:t xml:space="preserve">: </w:t>
      </w:r>
      <w:r w:rsidR="00F44771">
        <w:t>11.11</w:t>
      </w:r>
      <w:r w:rsidR="00340C4D" w:rsidRPr="004C7BA5">
        <w:t>.20</w:t>
      </w:r>
      <w:r w:rsidR="00FD1963" w:rsidRPr="004C7BA5">
        <w:t>20</w:t>
      </w:r>
      <w:r w:rsidR="00B24542" w:rsidRPr="004C7BA5">
        <w:t xml:space="preserve"> года.</w:t>
      </w:r>
    </w:p>
    <w:p w:rsidR="00644707" w:rsidRPr="004C7BA5" w:rsidRDefault="00644707" w:rsidP="00602AC3">
      <w:pPr>
        <w:jc w:val="both"/>
      </w:pPr>
      <w:r w:rsidRPr="004C7BA5">
        <w:rPr>
          <w:b/>
        </w:rPr>
        <w:t>Дата аукциона:</w:t>
      </w:r>
      <w:r w:rsidR="00340C4D" w:rsidRPr="004C7BA5">
        <w:rPr>
          <w:b/>
        </w:rPr>
        <w:t xml:space="preserve"> </w:t>
      </w:r>
      <w:r w:rsidR="00F44771">
        <w:rPr>
          <w:highlight w:val="yellow"/>
        </w:rPr>
        <w:t>12.11</w:t>
      </w:r>
      <w:r w:rsidR="00340C4D" w:rsidRPr="001B32DE">
        <w:rPr>
          <w:highlight w:val="yellow"/>
        </w:rPr>
        <w:t>.20</w:t>
      </w:r>
      <w:r w:rsidR="00FD1963" w:rsidRPr="001B32DE">
        <w:rPr>
          <w:highlight w:val="yellow"/>
        </w:rPr>
        <w:t>20</w:t>
      </w:r>
      <w:r w:rsidR="00B24542" w:rsidRPr="001B32DE">
        <w:rPr>
          <w:highlight w:val="yellow"/>
        </w:rPr>
        <w:t xml:space="preserve"> года</w:t>
      </w:r>
      <w:r w:rsidRPr="001B32DE">
        <w:rPr>
          <w:highlight w:val="yellow"/>
        </w:rPr>
        <w:t xml:space="preserve"> в </w:t>
      </w:r>
      <w:r w:rsidR="00FD1963" w:rsidRPr="001B32DE">
        <w:rPr>
          <w:highlight w:val="yellow"/>
        </w:rPr>
        <w:t>11</w:t>
      </w:r>
      <w:r w:rsidRPr="001B32DE">
        <w:rPr>
          <w:highlight w:val="yellow"/>
        </w:rPr>
        <w:t>-</w:t>
      </w:r>
      <w:r w:rsidR="00F44771">
        <w:rPr>
          <w:highlight w:val="yellow"/>
        </w:rPr>
        <w:t>30</w:t>
      </w:r>
      <w:r w:rsidRPr="001B32DE">
        <w:rPr>
          <w:highlight w:val="yellow"/>
        </w:rPr>
        <w:t xml:space="preserve"> по адресу </w:t>
      </w:r>
      <w:r w:rsidR="0047220E" w:rsidRPr="001B32DE">
        <w:rPr>
          <w:highlight w:val="yellow"/>
        </w:rPr>
        <w:t>г. Орел. Пл. Поликарпова. 8</w:t>
      </w:r>
      <w:r w:rsidR="008A6468" w:rsidRPr="001B32DE">
        <w:rPr>
          <w:highlight w:val="yellow"/>
        </w:rPr>
        <w:t>,</w:t>
      </w:r>
      <w:r w:rsidR="00B24542" w:rsidRPr="001B32DE">
        <w:rPr>
          <w:highlight w:val="yellow"/>
        </w:rPr>
        <w:t xml:space="preserve"> актовый зал</w:t>
      </w:r>
      <w:r w:rsidR="00FD1963" w:rsidRPr="001B32DE">
        <w:rPr>
          <w:highlight w:val="yellow"/>
        </w:rPr>
        <w:t>.</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tbl>
      <w:tblPr>
        <w:tblStyle w:val="af9"/>
        <w:tblW w:w="9606" w:type="dxa"/>
        <w:tblLook w:val="04A0" w:firstRow="1" w:lastRow="0" w:firstColumn="1" w:lastColumn="0" w:noHBand="0" w:noVBand="1"/>
      </w:tblPr>
      <w:tblGrid>
        <w:gridCol w:w="2392"/>
        <w:gridCol w:w="1827"/>
        <w:gridCol w:w="851"/>
        <w:gridCol w:w="2126"/>
        <w:gridCol w:w="2410"/>
      </w:tblGrid>
      <w:tr w:rsidR="001B32DE" w:rsidRPr="000C1FB5" w:rsidTr="001B32DE">
        <w:tc>
          <w:tcPr>
            <w:tcW w:w="2392" w:type="dxa"/>
            <w:vAlign w:val="center"/>
          </w:tcPr>
          <w:p w:rsidR="001B32DE" w:rsidRPr="000C1FB5" w:rsidRDefault="001B32DE" w:rsidP="00A85BD9">
            <w:pPr>
              <w:jc w:val="center"/>
              <w:rPr>
                <w:color w:val="000000"/>
                <w:sz w:val="28"/>
                <w:szCs w:val="28"/>
              </w:rPr>
            </w:pPr>
          </w:p>
        </w:tc>
        <w:tc>
          <w:tcPr>
            <w:tcW w:w="1827" w:type="dxa"/>
            <w:vAlign w:val="center"/>
          </w:tcPr>
          <w:p w:rsidR="001B32DE" w:rsidRPr="000C1FB5" w:rsidRDefault="001B32DE" w:rsidP="001B32DE">
            <w:pPr>
              <w:jc w:val="center"/>
              <w:rPr>
                <w:color w:val="000000"/>
                <w:sz w:val="28"/>
                <w:szCs w:val="28"/>
              </w:rPr>
            </w:pPr>
            <w:r w:rsidRPr="000C1FB5">
              <w:rPr>
                <w:color w:val="000000"/>
                <w:sz w:val="28"/>
                <w:szCs w:val="28"/>
              </w:rPr>
              <w:t xml:space="preserve">сечение, </w:t>
            </w:r>
            <w:proofErr w:type="gramStart"/>
            <w:r w:rsidRPr="000C1FB5">
              <w:rPr>
                <w:color w:val="000000"/>
                <w:sz w:val="28"/>
                <w:szCs w:val="28"/>
              </w:rPr>
              <w:t>мм</w:t>
            </w:r>
            <w:proofErr w:type="gramEnd"/>
          </w:p>
        </w:tc>
        <w:tc>
          <w:tcPr>
            <w:tcW w:w="851" w:type="dxa"/>
            <w:vAlign w:val="center"/>
          </w:tcPr>
          <w:p w:rsidR="001B32DE" w:rsidRPr="000C1FB5" w:rsidRDefault="001B32DE" w:rsidP="001B32DE">
            <w:pPr>
              <w:jc w:val="center"/>
              <w:rPr>
                <w:color w:val="000000"/>
                <w:sz w:val="28"/>
                <w:szCs w:val="28"/>
              </w:rPr>
            </w:pPr>
            <w:r w:rsidRPr="000C1FB5">
              <w:rPr>
                <w:color w:val="000000"/>
                <w:sz w:val="28"/>
                <w:szCs w:val="28"/>
              </w:rPr>
              <w:t>кол-во</w:t>
            </w:r>
          </w:p>
        </w:tc>
        <w:tc>
          <w:tcPr>
            <w:tcW w:w="2126" w:type="dxa"/>
            <w:vAlign w:val="center"/>
          </w:tcPr>
          <w:p w:rsidR="001B32DE" w:rsidRPr="000C1FB5" w:rsidRDefault="001B32DE" w:rsidP="001B32DE">
            <w:pPr>
              <w:jc w:val="center"/>
              <w:rPr>
                <w:sz w:val="28"/>
                <w:szCs w:val="28"/>
              </w:rPr>
            </w:pPr>
            <w:r w:rsidRPr="000C1FB5">
              <w:rPr>
                <w:sz w:val="28"/>
                <w:szCs w:val="28"/>
              </w:rPr>
              <w:t>Цена за единицу</w:t>
            </w:r>
            <w:r>
              <w:rPr>
                <w:sz w:val="28"/>
                <w:szCs w:val="28"/>
              </w:rPr>
              <w:t>, руб. коп.</w:t>
            </w:r>
          </w:p>
        </w:tc>
        <w:tc>
          <w:tcPr>
            <w:tcW w:w="2410" w:type="dxa"/>
            <w:vAlign w:val="center"/>
          </w:tcPr>
          <w:p w:rsidR="001B32DE" w:rsidRPr="000C1FB5" w:rsidRDefault="001B32DE" w:rsidP="001B32DE">
            <w:pPr>
              <w:jc w:val="center"/>
              <w:rPr>
                <w:sz w:val="28"/>
                <w:szCs w:val="28"/>
              </w:rPr>
            </w:pPr>
            <w:r>
              <w:rPr>
                <w:sz w:val="28"/>
                <w:szCs w:val="28"/>
              </w:rPr>
              <w:t>Общая стоимость, в том числе НДС, руб. коп.</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87</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768,00</w:t>
            </w:r>
          </w:p>
        </w:tc>
        <w:tc>
          <w:tcPr>
            <w:tcW w:w="2410" w:type="dxa"/>
            <w:vAlign w:val="center"/>
          </w:tcPr>
          <w:p w:rsidR="001B32DE" w:rsidRPr="000C1FB5" w:rsidRDefault="001B32DE" w:rsidP="00A85BD9">
            <w:pPr>
              <w:spacing w:line="360" w:lineRule="auto"/>
              <w:jc w:val="center"/>
              <w:rPr>
                <w:sz w:val="28"/>
                <w:szCs w:val="28"/>
              </w:rPr>
            </w:pPr>
            <w:r>
              <w:rPr>
                <w:sz w:val="28"/>
                <w:szCs w:val="28"/>
              </w:rPr>
              <w:t>66816,00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70-120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94</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792,00</w:t>
            </w:r>
          </w:p>
        </w:tc>
        <w:tc>
          <w:tcPr>
            <w:tcW w:w="2410" w:type="dxa"/>
            <w:vAlign w:val="center"/>
          </w:tcPr>
          <w:p w:rsidR="001B32DE" w:rsidRPr="000C1FB5" w:rsidRDefault="001B32DE" w:rsidP="00A85BD9">
            <w:pPr>
              <w:spacing w:line="360" w:lineRule="auto"/>
              <w:jc w:val="center"/>
              <w:rPr>
                <w:sz w:val="28"/>
                <w:szCs w:val="28"/>
              </w:rPr>
            </w:pPr>
            <w:r>
              <w:rPr>
                <w:sz w:val="28"/>
                <w:szCs w:val="28"/>
              </w:rPr>
              <w:t>74448,00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150-240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98</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882,00</w:t>
            </w:r>
          </w:p>
        </w:tc>
        <w:tc>
          <w:tcPr>
            <w:tcW w:w="2410" w:type="dxa"/>
            <w:vAlign w:val="center"/>
          </w:tcPr>
          <w:p w:rsidR="001B32DE" w:rsidRPr="000C1FB5" w:rsidRDefault="001B32DE" w:rsidP="00A85BD9">
            <w:pPr>
              <w:spacing w:line="360" w:lineRule="auto"/>
              <w:jc w:val="center"/>
              <w:rPr>
                <w:sz w:val="28"/>
                <w:szCs w:val="28"/>
              </w:rPr>
            </w:pPr>
            <w:r>
              <w:rPr>
                <w:sz w:val="28"/>
                <w:szCs w:val="28"/>
              </w:rPr>
              <w:t>86436,00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соединительная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70</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2280,00</w:t>
            </w:r>
          </w:p>
        </w:tc>
        <w:tc>
          <w:tcPr>
            <w:tcW w:w="2410" w:type="dxa"/>
            <w:vAlign w:val="center"/>
          </w:tcPr>
          <w:p w:rsidR="001B32DE" w:rsidRPr="000C1FB5" w:rsidRDefault="001B32DE" w:rsidP="00A85BD9">
            <w:pPr>
              <w:spacing w:line="360" w:lineRule="auto"/>
              <w:jc w:val="center"/>
              <w:rPr>
                <w:sz w:val="28"/>
                <w:szCs w:val="28"/>
              </w:rPr>
            </w:pPr>
            <w:r>
              <w:rPr>
                <w:sz w:val="28"/>
                <w:szCs w:val="28"/>
              </w:rPr>
              <w:t>159600,00</w:t>
            </w:r>
          </w:p>
        </w:tc>
      </w:tr>
      <w:tr w:rsidR="001B32DE" w:rsidRPr="000C1FB5" w:rsidTr="00C01C90">
        <w:tc>
          <w:tcPr>
            <w:tcW w:w="7196" w:type="dxa"/>
            <w:gridSpan w:val="4"/>
            <w:vAlign w:val="center"/>
          </w:tcPr>
          <w:p w:rsidR="001B32DE" w:rsidRPr="000C1FB5" w:rsidRDefault="001B32DE" w:rsidP="001B32DE">
            <w:pPr>
              <w:spacing w:line="360" w:lineRule="auto"/>
              <w:jc w:val="right"/>
              <w:rPr>
                <w:sz w:val="28"/>
                <w:szCs w:val="28"/>
              </w:rPr>
            </w:pPr>
            <w:r>
              <w:rPr>
                <w:sz w:val="28"/>
                <w:szCs w:val="28"/>
              </w:rPr>
              <w:t>Итого:</w:t>
            </w:r>
          </w:p>
        </w:tc>
        <w:tc>
          <w:tcPr>
            <w:tcW w:w="2410" w:type="dxa"/>
            <w:vAlign w:val="center"/>
          </w:tcPr>
          <w:p w:rsidR="001B32DE" w:rsidRDefault="001B32DE" w:rsidP="00A85BD9">
            <w:pPr>
              <w:spacing w:line="360" w:lineRule="auto"/>
              <w:jc w:val="center"/>
              <w:rPr>
                <w:sz w:val="28"/>
                <w:szCs w:val="28"/>
              </w:rPr>
            </w:pPr>
            <w:r>
              <w:rPr>
                <w:sz w:val="28"/>
                <w:szCs w:val="28"/>
              </w:rPr>
              <w:t>387300,00</w:t>
            </w:r>
          </w:p>
        </w:tc>
      </w:tr>
    </w:tbl>
    <w:p w:rsidR="001B32DE" w:rsidRPr="004C7BA5" w:rsidRDefault="001B32DE" w:rsidP="00602AC3">
      <w:pPr>
        <w:jc w:val="both"/>
      </w:pPr>
    </w:p>
    <w:p w:rsidR="004D2CC3" w:rsidRPr="004C7BA5"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w:t>
      </w:r>
      <w:r w:rsidR="001B32DE">
        <w:t>38 730</w:t>
      </w:r>
      <w:r w:rsidR="00B9557A">
        <w:t xml:space="preserve"> </w:t>
      </w:r>
      <w:r w:rsidR="00B9557A">
        <w:lastRenderedPageBreak/>
        <w:t>(</w:t>
      </w:r>
      <w:r w:rsidR="001B32DE">
        <w:t>тридцать восемь</w:t>
      </w:r>
      <w:r w:rsidR="00B9557A">
        <w:t xml:space="preserve"> тысяч </w:t>
      </w:r>
      <w:r w:rsidR="001B32DE">
        <w:t>семьсот тридцать</w:t>
      </w:r>
      <w:r w:rsidR="00B9557A">
        <w:t>)</w:t>
      </w:r>
      <w:r w:rsidR="00560B86" w:rsidRPr="004C7BA5">
        <w:t xml:space="preserve"> рублей</w:t>
      </w:r>
      <w:r w:rsidR="00B9557A">
        <w:t xml:space="preserve"> </w:t>
      </w:r>
      <w:r w:rsidR="001B32DE">
        <w:t>00</w:t>
      </w:r>
      <w:r w:rsidR="00B9557A">
        <w:t xml:space="preserve"> копеек,</w:t>
      </w:r>
      <w:r w:rsidRPr="004C7BA5">
        <w:t xml:space="preserve"> по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 </w:t>
      </w:r>
      <w:r w:rsidR="005606A9">
        <w:t>_________ от _______________</w:t>
      </w:r>
      <w:r w:rsidR="009F2A0E">
        <w:t xml:space="preserve">2020 г. </w:t>
      </w:r>
      <w:r w:rsidR="004D2CC3" w:rsidRPr="004C7BA5">
        <w:t>по продаже движимого имущества</w:t>
      </w:r>
      <w:proofErr w:type="gramStart"/>
      <w:r w:rsidR="004D2CC3" w:rsidRPr="004C7BA5">
        <w:t xml:space="preserve"> </w:t>
      </w:r>
      <w:r w:rsidR="002C6932">
        <w:t>,</w:t>
      </w:r>
      <w:proofErr w:type="gramEnd"/>
      <w:r w:rsidR="004D2CC3" w:rsidRPr="004C7BA5">
        <w:t xml:space="preserve">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0" w:name="_Ref364948466"/>
      <w:r>
        <w:t>Задаток</w:t>
      </w:r>
      <w:r w:rsidR="004D2CC3" w:rsidRPr="004C7BA5">
        <w:t xml:space="preserve"> должен поступить на расчетный счет Организатора </w:t>
      </w:r>
      <w:r w:rsidR="004D2CC3" w:rsidRPr="002C6932">
        <w:rPr>
          <w:highlight w:val="yellow"/>
        </w:rPr>
        <w:t xml:space="preserve">не позднее </w:t>
      </w:r>
      <w:bookmarkEnd w:id="0"/>
      <w:r w:rsidR="00602AC3" w:rsidRPr="002C6932">
        <w:rPr>
          <w:highlight w:val="yellow"/>
        </w:rPr>
        <w:t>16</w:t>
      </w:r>
      <w:r w:rsidR="004D2CC3" w:rsidRPr="002C6932">
        <w:rPr>
          <w:highlight w:val="yellow"/>
        </w:rPr>
        <w:t>-</w:t>
      </w:r>
      <w:r w:rsidR="00602AC3" w:rsidRPr="002C6932">
        <w:rPr>
          <w:highlight w:val="yellow"/>
        </w:rPr>
        <w:t>00</w:t>
      </w:r>
      <w:r w:rsidR="004D2CC3" w:rsidRPr="002C6932">
        <w:rPr>
          <w:highlight w:val="yellow"/>
        </w:rPr>
        <w:t xml:space="preserve"> </w:t>
      </w:r>
      <w:r w:rsidR="00F44771">
        <w:rPr>
          <w:highlight w:val="yellow"/>
        </w:rPr>
        <w:t>10.11</w:t>
      </w:r>
      <w:r w:rsidR="004D2CC3" w:rsidRPr="002C6932">
        <w:rPr>
          <w:highlight w:val="yellow"/>
        </w:rPr>
        <w:t>.2020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2C6932">
        <w:t xml:space="preserve"> и составляет 11 619 рублей</w:t>
      </w:r>
      <w:r w:rsidR="00FE1C4E" w:rsidRPr="004C7BA5">
        <w:t>.</w:t>
      </w:r>
    </w:p>
    <w:p w:rsidR="00F57F6C" w:rsidRPr="004C7BA5" w:rsidRDefault="00F57F6C" w:rsidP="00602AC3">
      <w:pPr>
        <w:jc w:val="both"/>
      </w:pPr>
    </w:p>
    <w:p w:rsidR="005606A9" w:rsidRDefault="008D56B8" w:rsidP="00B9557A">
      <w:pPr>
        <w:ind w:firstLine="284"/>
        <w:jc w:val="both"/>
      </w:pPr>
      <w:r w:rsidRPr="00B9557A">
        <w:rPr>
          <w:b/>
        </w:rPr>
        <w:t>4.</w:t>
      </w:r>
      <w:r>
        <w:t xml:space="preserve"> </w:t>
      </w:r>
      <w:r w:rsidR="00FE1C4E" w:rsidRPr="004C7BA5">
        <w:t>Предварительное ознакомление Претендентов с документацией по аукциону, проектом договора купли-продажи</w:t>
      </w:r>
      <w:r w:rsidR="005606A9">
        <w:t xml:space="preserve"> осуществляется </w:t>
      </w:r>
      <w:r w:rsidR="005606A9" w:rsidRPr="004C7BA5">
        <w:t>на официальном сайте Общества</w:t>
      </w:r>
      <w:r w:rsidR="005606A9">
        <w:t xml:space="preserve">:  </w:t>
      </w:r>
      <w:r w:rsidR="005606A9" w:rsidRPr="005606A9">
        <w:t>https://орелоблэнерго</w:t>
      </w:r>
      <w:proofErr w:type="gramStart"/>
      <w:r w:rsidR="005606A9" w:rsidRPr="005606A9">
        <w:t>.р</w:t>
      </w:r>
      <w:proofErr w:type="gramEnd"/>
      <w:r w:rsidR="005606A9" w:rsidRPr="005606A9">
        <w:t>ф/</w:t>
      </w:r>
    </w:p>
    <w:p w:rsidR="0047220E" w:rsidRPr="004C7BA5" w:rsidRDefault="005606A9" w:rsidP="00B9557A">
      <w:pPr>
        <w:ind w:firstLine="284"/>
        <w:jc w:val="both"/>
      </w:pPr>
      <w:r>
        <w:t>П</w:t>
      </w:r>
      <w:r w:rsidR="00FE1C4E" w:rsidRPr="004C7BA5">
        <w:t xml:space="preserve">рием заявок на участие в аукционе производится по адресу </w:t>
      </w:r>
      <w:r w:rsidR="0047220E" w:rsidRPr="004C7BA5">
        <w:t xml:space="preserve">г. Орел.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47220E" w:rsidRPr="004C7BA5">
        <w:rPr>
          <w:rStyle w:val="rvts48220"/>
          <w:rFonts w:ascii="Times New Roman" w:hAnsi="Times New Roman" w:cs="Times New Roman"/>
          <w:bCs/>
          <w:color w:val="auto"/>
          <w:sz w:val="24"/>
          <w:szCs w:val="24"/>
        </w:rPr>
        <w:t>33-00-51</w:t>
      </w:r>
      <w:r w:rsidR="00FE1C4E" w:rsidRPr="004C7BA5">
        <w:t xml:space="preserve">. </w:t>
      </w:r>
    </w:p>
    <w:p w:rsidR="00C54D5D" w:rsidRPr="004C7BA5" w:rsidRDefault="00C54D5D" w:rsidP="005606A9">
      <w:pPr>
        <w:ind w:firstLine="284"/>
        <w:jc w:val="both"/>
        <w:rPr>
          <w:rStyle w:val="rvts48220"/>
          <w:rFonts w:ascii="Times New Roman" w:hAnsi="Times New Roman" w:cs="Times New Roman"/>
          <w:bCs/>
          <w:color w:val="auto"/>
          <w:sz w:val="24"/>
          <w:szCs w:val="24"/>
        </w:rPr>
      </w:pPr>
      <w:r w:rsidRPr="005606A9">
        <w:rPr>
          <w:rStyle w:val="rvts48220"/>
          <w:rFonts w:ascii="Times New Roman" w:hAnsi="Times New Roman" w:cs="Times New Roman"/>
          <w:bCs/>
          <w:color w:val="auto"/>
          <w:sz w:val="24"/>
          <w:szCs w:val="24"/>
          <w:highlight w:val="yellow"/>
        </w:rPr>
        <w:t>О</w:t>
      </w:r>
      <w:r w:rsidR="00644707" w:rsidRPr="005606A9">
        <w:rPr>
          <w:rStyle w:val="rvts48220"/>
          <w:rFonts w:ascii="Times New Roman" w:hAnsi="Times New Roman" w:cs="Times New Roman"/>
          <w:bCs/>
          <w:color w:val="auto"/>
          <w:sz w:val="24"/>
          <w:szCs w:val="24"/>
          <w:highlight w:val="yellow"/>
        </w:rPr>
        <w:t xml:space="preserve">смотр имущества </w:t>
      </w:r>
      <w:r w:rsidRPr="005606A9">
        <w:rPr>
          <w:rStyle w:val="rvts48220"/>
          <w:rFonts w:ascii="Times New Roman" w:hAnsi="Times New Roman" w:cs="Times New Roman"/>
          <w:bCs/>
          <w:color w:val="auto"/>
          <w:sz w:val="24"/>
          <w:szCs w:val="24"/>
          <w:highlight w:val="yellow"/>
        </w:rPr>
        <w:t>проводится по предварительно</w:t>
      </w:r>
      <w:r w:rsidR="00DD551E" w:rsidRPr="005606A9">
        <w:rPr>
          <w:rStyle w:val="rvts48220"/>
          <w:rFonts w:ascii="Times New Roman" w:hAnsi="Times New Roman" w:cs="Times New Roman"/>
          <w:bCs/>
          <w:color w:val="auto"/>
          <w:sz w:val="24"/>
          <w:szCs w:val="24"/>
          <w:highlight w:val="yellow"/>
        </w:rPr>
        <w:t>й</w:t>
      </w:r>
      <w:r w:rsidRPr="005606A9">
        <w:rPr>
          <w:rStyle w:val="rvts48220"/>
          <w:rFonts w:ascii="Times New Roman" w:hAnsi="Times New Roman" w:cs="Times New Roman"/>
          <w:bCs/>
          <w:color w:val="auto"/>
          <w:sz w:val="24"/>
          <w:szCs w:val="24"/>
          <w:highlight w:val="yellow"/>
        </w:rPr>
        <w:t xml:space="preserve"> договоренности </w:t>
      </w:r>
      <w:r w:rsidR="009539BC" w:rsidRPr="005606A9">
        <w:rPr>
          <w:rStyle w:val="rvts48220"/>
          <w:rFonts w:ascii="Times New Roman" w:hAnsi="Times New Roman" w:cs="Times New Roman"/>
          <w:bCs/>
          <w:color w:val="auto"/>
          <w:sz w:val="24"/>
          <w:szCs w:val="24"/>
          <w:highlight w:val="yellow"/>
        </w:rPr>
        <w:t>в рабочие дни</w:t>
      </w:r>
      <w:r w:rsidR="00B9557A" w:rsidRPr="005606A9">
        <w:rPr>
          <w:rStyle w:val="rvts48220"/>
          <w:rFonts w:ascii="Times New Roman" w:hAnsi="Times New Roman" w:cs="Times New Roman"/>
          <w:bCs/>
          <w:color w:val="auto"/>
          <w:sz w:val="24"/>
          <w:szCs w:val="24"/>
          <w:highlight w:val="yellow"/>
        </w:rPr>
        <w:t xml:space="preserve"> по адресу: </w:t>
      </w:r>
      <w:r w:rsidR="004950E4">
        <w:t>г. Орел, пл. Поликарпова, 8</w:t>
      </w:r>
      <w:r w:rsidR="009539BC" w:rsidRPr="005606A9">
        <w:rPr>
          <w:rStyle w:val="rvts48220"/>
          <w:rFonts w:ascii="Times New Roman" w:hAnsi="Times New Roman" w:cs="Times New Roman"/>
          <w:bCs/>
          <w:color w:val="auto"/>
          <w:sz w:val="24"/>
          <w:szCs w:val="24"/>
          <w:highlight w:val="yellow"/>
        </w:rPr>
        <w:t>.</w:t>
      </w:r>
    </w:p>
    <w:p w:rsidR="00D44EDA"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567DB9" w:rsidRPr="004C7BA5" w:rsidRDefault="00567DB9"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bookmarkStart w:id="1" w:name="_GoBack"/>
      <w:bookmarkEnd w:id="1"/>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 xml:space="preserve">Заявления и </w:t>
      </w:r>
      <w:proofErr w:type="gramStart"/>
      <w:r w:rsidR="00843D57" w:rsidRPr="004C7BA5">
        <w:rPr>
          <w:rStyle w:val="rvts48220"/>
          <w:rFonts w:ascii="Times New Roman" w:hAnsi="Times New Roman" w:cs="Times New Roman"/>
          <w:color w:val="auto"/>
          <w:sz w:val="24"/>
          <w:szCs w:val="24"/>
        </w:rPr>
        <w:t>иные документы, прилагаемые к заявлению должны быть предоставлены</w:t>
      </w:r>
      <w:proofErr w:type="gramEnd"/>
      <w:r w:rsidR="00843D57" w:rsidRPr="004C7BA5">
        <w:rPr>
          <w:rStyle w:val="rvts48220"/>
          <w:rFonts w:ascii="Times New Roman" w:hAnsi="Times New Roman" w:cs="Times New Roman"/>
          <w:color w:val="auto"/>
          <w:sz w:val="24"/>
          <w:szCs w:val="24"/>
        </w:rPr>
        <w:t xml:space="preserve"> Организатору Аукциона не позднее </w:t>
      </w:r>
      <w:r w:rsidR="00F44771">
        <w:rPr>
          <w:rStyle w:val="rvts48220"/>
          <w:rFonts w:ascii="Times New Roman" w:hAnsi="Times New Roman" w:cs="Times New Roman"/>
          <w:color w:val="auto"/>
          <w:sz w:val="24"/>
          <w:szCs w:val="24"/>
          <w:highlight w:val="yellow"/>
        </w:rPr>
        <w:t>10.11</w:t>
      </w:r>
      <w:r w:rsidR="00843D57" w:rsidRPr="005606A9">
        <w:rPr>
          <w:rStyle w:val="rvts48220"/>
          <w:rFonts w:ascii="Times New Roman" w:hAnsi="Times New Roman" w:cs="Times New Roman"/>
          <w:color w:val="auto"/>
          <w:sz w:val="24"/>
          <w:szCs w:val="24"/>
          <w:highlight w:val="yellow"/>
        </w:rPr>
        <w:t>.20</w:t>
      </w:r>
      <w:r w:rsidR="006E0C01" w:rsidRPr="005606A9">
        <w:rPr>
          <w:rStyle w:val="rvts48220"/>
          <w:rFonts w:ascii="Times New Roman" w:hAnsi="Times New Roman" w:cs="Times New Roman"/>
          <w:color w:val="auto"/>
          <w:sz w:val="24"/>
          <w:szCs w:val="24"/>
          <w:highlight w:val="yellow"/>
        </w:rPr>
        <w:t>20</w:t>
      </w:r>
      <w:r w:rsidR="00843D57" w:rsidRPr="005606A9">
        <w:rPr>
          <w:rStyle w:val="rvts48220"/>
          <w:rFonts w:ascii="Times New Roman" w:hAnsi="Times New Roman" w:cs="Times New Roman"/>
          <w:color w:val="auto"/>
          <w:sz w:val="24"/>
          <w:szCs w:val="24"/>
          <w:highlight w:val="yellow"/>
        </w:rPr>
        <w:t xml:space="preserve"> года </w:t>
      </w:r>
      <w:r w:rsidR="00287428" w:rsidRPr="005606A9">
        <w:rPr>
          <w:rStyle w:val="rvts48220"/>
          <w:rFonts w:ascii="Times New Roman" w:hAnsi="Times New Roman" w:cs="Times New Roman"/>
          <w:color w:val="auto"/>
          <w:sz w:val="24"/>
          <w:szCs w:val="24"/>
          <w:highlight w:val="yellow"/>
        </w:rPr>
        <w:t>17</w:t>
      </w:r>
      <w:r w:rsidR="00843D57" w:rsidRPr="005606A9">
        <w:rPr>
          <w:rStyle w:val="rvts48220"/>
          <w:rFonts w:ascii="Times New Roman" w:hAnsi="Times New Roman" w:cs="Times New Roman"/>
          <w:color w:val="auto"/>
          <w:sz w:val="24"/>
          <w:szCs w:val="24"/>
          <w:highlight w:val="yellow"/>
        </w:rPr>
        <w:t xml:space="preserve"> часов 00мин</w:t>
      </w:r>
      <w:r w:rsidR="00E54AF7" w:rsidRPr="005606A9">
        <w:rPr>
          <w:rStyle w:val="rvts48221"/>
          <w:rFonts w:ascii="Times New Roman" w:hAnsi="Times New Roman" w:cs="Times New Roman"/>
          <w:b w:val="0"/>
          <w:color w:val="auto"/>
          <w:sz w:val="24"/>
          <w:szCs w:val="24"/>
          <w:highlight w:val="yellow"/>
        </w:rPr>
        <w:t>.</w:t>
      </w:r>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w:t>
      </w:r>
      <w:r w:rsidR="005606A9">
        <w:t>, в запечатанном конверте</w:t>
      </w:r>
      <w:r w:rsidRPr="004C7BA5">
        <w:t>.</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proofErr w:type="gramStart"/>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roofErr w:type="gramEnd"/>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 xml:space="preserve">техническим состоянием </w:t>
      </w:r>
      <w:r w:rsidR="002C6932">
        <w:rPr>
          <w:rStyle w:val="rvts48220"/>
          <w:rFonts w:ascii="Times New Roman" w:hAnsi="Times New Roman" w:cs="Times New Roman"/>
          <w:color w:val="auto"/>
          <w:sz w:val="24"/>
          <w:szCs w:val="24"/>
        </w:rPr>
        <w:t>реализуемого имущества</w:t>
      </w:r>
      <w:r w:rsidR="005606A9">
        <w:rPr>
          <w:rStyle w:val="rvts48220"/>
          <w:rFonts w:ascii="Times New Roman" w:hAnsi="Times New Roman" w:cs="Times New Roman"/>
          <w:color w:val="auto"/>
          <w:sz w:val="24"/>
          <w:szCs w:val="24"/>
        </w:rPr>
        <w:t xml:space="preserve"> (свободная форма)</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бухгалтерский баланс (формы № 1, № 2) на последнюю отчетную дату (или за время существования юридического лица), а также за </w:t>
      </w:r>
      <w:proofErr w:type="gramStart"/>
      <w:r w:rsidRPr="004C7BA5">
        <w:t>последний полный</w:t>
      </w:r>
      <w:proofErr w:type="gramEnd"/>
      <w:r w:rsidRPr="004C7BA5">
        <w:t xml:space="preserve">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заверенная </w:t>
      </w:r>
      <w:r w:rsidR="00F91260">
        <w:t xml:space="preserve">претендентом </w:t>
      </w:r>
      <w:r w:rsidRPr="004C7BA5">
        <w:t>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заверенное</w:t>
      </w:r>
      <w:r w:rsidR="00F91260">
        <w:t xml:space="preserve"> претендентом</w:t>
      </w:r>
      <w:r w:rsidRPr="004C7BA5">
        <w:t xml:space="preserve">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w:t>
      </w:r>
      <w:proofErr w:type="gramEnd"/>
      <w:r w:rsidRPr="004C7BA5">
        <w:t xml:space="preserve">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proofErr w:type="gramStart"/>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w:t>
      </w:r>
      <w:proofErr w:type="gramEnd"/>
      <w:r w:rsidRPr="004C7BA5">
        <w:t xml:space="preserve">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 xml:space="preserve">В протоколе </w:t>
      </w:r>
      <w:r w:rsidR="00F91260">
        <w:t>рассмотрения</w:t>
      </w:r>
      <w:r w:rsidRPr="004C7BA5">
        <w:t xml:space="preserve">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 xml:space="preserve">протокола </w:t>
      </w:r>
      <w:r w:rsidR="00F91260">
        <w:t>рассмотрения</w:t>
      </w:r>
      <w:r w:rsidR="00F91260" w:rsidRPr="004C7BA5">
        <w:t xml:space="preserve"> </w:t>
      </w:r>
      <w:r w:rsidRPr="004C7BA5">
        <w:t>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proofErr w:type="gramStart"/>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roofErr w:type="gramEnd"/>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proofErr w:type="gramStart"/>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roofErr w:type="gramEnd"/>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9"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Default="00F12581" w:rsidP="00EA5158">
      <w:pPr>
        <w:jc w:val="center"/>
        <w:outlineLvl w:val="0"/>
      </w:pPr>
      <w:r w:rsidRPr="008D56B8">
        <w:rPr>
          <w:b/>
        </w:rPr>
        <w:t xml:space="preserve">Заявка на </w:t>
      </w:r>
      <w:r w:rsidR="00EA5158">
        <w:t>участие в</w:t>
      </w:r>
      <w:r w:rsidR="00EA5158" w:rsidRPr="004C7BA5">
        <w:t xml:space="preserve"> аукцион</w:t>
      </w:r>
      <w:r w:rsidR="00EA5158">
        <w:t xml:space="preserve">е </w:t>
      </w:r>
      <w:r w:rsidR="00EA5158" w:rsidRPr="004C7BA5">
        <w:t>по продаже движимого имущества</w:t>
      </w:r>
    </w:p>
    <w:p w:rsidR="00EA5158" w:rsidRDefault="00EA5158" w:rsidP="00EA5158">
      <w:pPr>
        <w:jc w:val="center"/>
        <w:outlineLvl w:val="0"/>
      </w:pPr>
      <w:r w:rsidRPr="004C7BA5">
        <w:t xml:space="preserve"> (</w:t>
      </w:r>
      <w:r w:rsidR="002C6932">
        <w:t>муфты кабельные</w:t>
      </w:r>
      <w:r w:rsidRPr="004C7BA5">
        <w:t>)</w:t>
      </w:r>
    </w:p>
    <w:p w:rsidR="00EA5158" w:rsidRPr="004C7BA5" w:rsidRDefault="00EA5158" w:rsidP="00EA5158">
      <w:pPr>
        <w:jc w:val="center"/>
        <w:outlineLvl w:val="0"/>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F12581" w:rsidRPr="008D56B8" w:rsidRDefault="00F12581" w:rsidP="00F12581">
      <w:pPr>
        <w:jc w:val="both"/>
        <w:rPr>
          <w:rFonts w:eastAsia="Calibri"/>
        </w:rPr>
      </w:pPr>
    </w:p>
    <w:tbl>
      <w:tblPr>
        <w:tblW w:w="84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53"/>
        <w:gridCol w:w="2557"/>
        <w:gridCol w:w="2405"/>
      </w:tblGrid>
      <w:tr w:rsidR="001B32DE" w:rsidRPr="008D56B8" w:rsidTr="001B32DE">
        <w:trPr>
          <w:trHeight w:val="1185"/>
        </w:trPr>
        <w:tc>
          <w:tcPr>
            <w:tcW w:w="562" w:type="dxa"/>
            <w:shd w:val="clear" w:color="auto" w:fill="auto"/>
            <w:vAlign w:val="center"/>
          </w:tcPr>
          <w:p w:rsidR="001B32DE" w:rsidRPr="008D56B8" w:rsidRDefault="001B32DE" w:rsidP="00EE700E">
            <w:pPr>
              <w:jc w:val="center"/>
            </w:pPr>
            <w:r w:rsidRPr="008D56B8">
              <w:t xml:space="preserve">№ </w:t>
            </w:r>
            <w:proofErr w:type="gramStart"/>
            <w:r w:rsidRPr="008D56B8">
              <w:t>п</w:t>
            </w:r>
            <w:proofErr w:type="gramEnd"/>
            <w:r w:rsidRPr="008D56B8">
              <w:t>/п</w:t>
            </w:r>
          </w:p>
        </w:tc>
        <w:tc>
          <w:tcPr>
            <w:tcW w:w="2953" w:type="dxa"/>
            <w:shd w:val="clear" w:color="auto" w:fill="auto"/>
            <w:vAlign w:val="center"/>
          </w:tcPr>
          <w:p w:rsidR="001B32DE" w:rsidRPr="008D56B8" w:rsidRDefault="001B32DE" w:rsidP="00EE700E">
            <w:pPr>
              <w:jc w:val="center"/>
            </w:pPr>
            <w:r w:rsidRPr="008D56B8">
              <w:t>Наименование объекта движимого имущества</w:t>
            </w:r>
          </w:p>
        </w:tc>
        <w:tc>
          <w:tcPr>
            <w:tcW w:w="2557" w:type="dxa"/>
            <w:shd w:val="clear" w:color="auto" w:fill="auto"/>
            <w:vAlign w:val="center"/>
          </w:tcPr>
          <w:p w:rsidR="001B32DE" w:rsidRPr="008D56B8" w:rsidRDefault="001B32DE" w:rsidP="00EE700E">
            <w:pPr>
              <w:jc w:val="center"/>
            </w:pPr>
            <w:r w:rsidRPr="008D56B8">
              <w:t>Инвентарный номер (при наличии)</w:t>
            </w:r>
          </w:p>
        </w:tc>
        <w:tc>
          <w:tcPr>
            <w:tcW w:w="2405" w:type="dxa"/>
            <w:shd w:val="clear" w:color="auto" w:fill="auto"/>
            <w:vAlign w:val="center"/>
          </w:tcPr>
          <w:p w:rsidR="001B32DE" w:rsidRPr="008D56B8" w:rsidRDefault="001B32DE" w:rsidP="00EE700E">
            <w:pPr>
              <w:jc w:val="center"/>
            </w:pPr>
            <w:r w:rsidRPr="008D56B8">
              <w:t>Начальная (минимальная) цена, руб. (с НДС)</w:t>
            </w:r>
          </w:p>
        </w:tc>
      </w:tr>
      <w:tr w:rsidR="001B32DE" w:rsidRPr="008D56B8" w:rsidTr="001B32DE">
        <w:trPr>
          <w:trHeight w:val="334"/>
        </w:trPr>
        <w:tc>
          <w:tcPr>
            <w:tcW w:w="562" w:type="dxa"/>
            <w:shd w:val="clear" w:color="auto" w:fill="auto"/>
            <w:vAlign w:val="center"/>
          </w:tcPr>
          <w:p w:rsidR="001B32DE" w:rsidRPr="008D56B8" w:rsidRDefault="001B32DE" w:rsidP="00EE700E">
            <w:pPr>
              <w:jc w:val="center"/>
              <w:rPr>
                <w:color w:val="000000"/>
              </w:rPr>
            </w:pPr>
            <w:r w:rsidRPr="008D56B8">
              <w:rPr>
                <w:color w:val="000000"/>
              </w:rPr>
              <w:t>1</w:t>
            </w:r>
          </w:p>
        </w:tc>
        <w:tc>
          <w:tcPr>
            <w:tcW w:w="2953" w:type="dxa"/>
            <w:shd w:val="clear" w:color="auto" w:fill="auto"/>
            <w:vAlign w:val="center"/>
          </w:tcPr>
          <w:p w:rsidR="001B32DE" w:rsidRPr="008D56B8" w:rsidRDefault="001B32DE" w:rsidP="00EE700E">
            <w:pPr>
              <w:jc w:val="center"/>
              <w:rPr>
                <w:color w:val="000000"/>
              </w:rPr>
            </w:pPr>
          </w:p>
        </w:tc>
        <w:tc>
          <w:tcPr>
            <w:tcW w:w="2557" w:type="dxa"/>
            <w:shd w:val="clear" w:color="auto" w:fill="auto"/>
            <w:vAlign w:val="center"/>
          </w:tcPr>
          <w:p w:rsidR="001B32DE" w:rsidRPr="008D56B8" w:rsidRDefault="001B32DE" w:rsidP="00EE700E">
            <w:pPr>
              <w:jc w:val="center"/>
              <w:rPr>
                <w:color w:val="000000"/>
              </w:rPr>
            </w:pPr>
          </w:p>
        </w:tc>
        <w:tc>
          <w:tcPr>
            <w:tcW w:w="2405" w:type="dxa"/>
            <w:shd w:val="clear" w:color="auto" w:fill="auto"/>
            <w:vAlign w:val="center"/>
          </w:tcPr>
          <w:p w:rsidR="001B32DE" w:rsidRPr="008D56B8" w:rsidRDefault="001B32DE" w:rsidP="00EE700E">
            <w:pPr>
              <w:pStyle w:val="af4"/>
              <w:spacing w:after="0" w:line="230" w:lineRule="exact"/>
              <w:jc w:val="center"/>
              <w:rPr>
                <w:color w:val="000000"/>
              </w:rPr>
            </w:pPr>
          </w:p>
        </w:tc>
      </w:tr>
    </w:tbl>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 с НДС, НДС указать отдельно)</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 xml:space="preserve">Участник </w:t>
      </w:r>
      <w:proofErr w:type="gramStart"/>
      <w:r w:rsidRPr="008D56B8">
        <w:rPr>
          <w:rFonts w:eastAsia="Calibri"/>
        </w:rPr>
        <w:t>соглашается, что</w:t>
      </w:r>
      <w:proofErr w:type="gramEnd"/>
      <w:r w:rsidRPr="008D56B8">
        <w:rPr>
          <w:rFonts w:eastAsia="Calibri"/>
        </w:rPr>
        <w:t xml:space="preserve">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proofErr w:type="gramStart"/>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roofErr w:type="gramEnd"/>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175286">
        <w:tc>
          <w:tcPr>
            <w:tcW w:w="46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8D56B8" w:rsidRDefault="00FD6674">
      <w:pPr>
        <w:spacing w:after="200" w:line="276" w:lineRule="auto"/>
      </w:pPr>
      <w:r w:rsidRPr="008D56B8">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2020г.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 xml:space="preserve">______________ (__________),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t>1.1</w:t>
      </w:r>
      <w:r w:rsidRPr="008D56B8">
        <w:t>.Продавец обязуется передать в собственность Покупателя</w:t>
      </w:r>
      <w:r w:rsidRPr="00B9557A">
        <w:t xml:space="preserve"> товар (</w:t>
      </w:r>
      <w:r w:rsidR="001B32DE">
        <w:t>муфты кабельные, в соответствии со Спецификацией №1</w:t>
      </w:r>
      <w:r w:rsidRPr="00B9557A">
        <w:t>)</w:t>
      </w:r>
      <w:r w:rsidRPr="00BA079A">
        <w:t xml:space="preserve"> </w:t>
      </w:r>
      <w:r w:rsidRPr="008D56B8">
        <w:t>и относящиеся к нему документы, а Покупатель обязуется осмотреть товар, принять его и оплатить на условиях, установленных настоящим договором.</w:t>
      </w:r>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rsidR="001B32DE">
        <w:t>38 730 (тридцать восемь тысяч семьсот тридцать)</w:t>
      </w:r>
      <w:r w:rsidR="001B32DE" w:rsidRPr="004C7BA5">
        <w:t xml:space="preserve"> рублей</w:t>
      </w:r>
      <w:r w:rsidR="001B32DE">
        <w:t xml:space="preserve"> 00 копеек</w:t>
      </w:r>
      <w:r>
        <w:t>,</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Упаковка, отгрузка/погрузка 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w:t>
      </w:r>
      <w:proofErr w:type="gramStart"/>
      <w:r w:rsidRPr="008D56B8">
        <w:t>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roofErr w:type="gramEnd"/>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B9557A">
      <w:pPr>
        <w:suppressAutoHyphens/>
        <w:jc w:val="both"/>
      </w:pPr>
      <w:r w:rsidRPr="008D56B8">
        <w:t xml:space="preserve">- передать Покупателю в момент </w:t>
      </w:r>
      <w:r w:rsidRPr="00A47540">
        <w:t>передачи имущества все необходимые документы  ПТС</w:t>
      </w:r>
      <w:r w:rsidR="00A47540" w:rsidRPr="00A47540">
        <w:t>, Свидетельство о регистрации,</w:t>
      </w:r>
      <w:r w:rsidRPr="00A47540">
        <w:t xml:space="preserve"> </w:t>
      </w:r>
      <w:r w:rsidR="004925F0" w:rsidRPr="00A47540">
        <w:t xml:space="preserve">Акт приема-передачи транспортного </w:t>
      </w:r>
      <w:r w:rsidR="004925F0" w:rsidRPr="004925F0">
        <w:t>средства</w:t>
      </w:r>
      <w:r w:rsidRPr="008D56B8">
        <w:t>.</w:t>
      </w:r>
    </w:p>
    <w:p w:rsidR="00B9557A" w:rsidRPr="008D56B8" w:rsidRDefault="00B9557A" w:rsidP="00B9557A">
      <w:pPr>
        <w:suppressAutoHyphens/>
        <w:jc w:val="both"/>
      </w:pPr>
      <w:r w:rsidRPr="008D56B8">
        <w:rPr>
          <w:b/>
        </w:rPr>
        <w:tab/>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w:t>
      </w:r>
      <w:proofErr w:type="gramStart"/>
      <w:r w:rsidRPr="008D56B8">
        <w:t>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roofErr w:type="gramEnd"/>
    </w:p>
    <w:p w:rsidR="00B9557A" w:rsidRPr="008D56B8" w:rsidRDefault="00B9557A" w:rsidP="00B9557A">
      <w:pPr>
        <w:jc w:val="both"/>
      </w:pPr>
      <w:r w:rsidRPr="008D56B8">
        <w:rPr>
          <w:b/>
        </w:rPr>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10" w:history="1">
              <w:r>
                <w:rPr>
                  <w:rStyle w:val="a3"/>
                  <w:lang w:val="en-US" w:eastAsia="zh-CN"/>
                </w:rPr>
                <w:t>omts</w:t>
              </w:r>
              <w:r>
                <w:rPr>
                  <w:rStyle w:val="a3"/>
                  <w:lang w:eastAsia="zh-CN"/>
                </w:rPr>
                <w:t>@</w:t>
              </w:r>
              <w:r>
                <w:rPr>
                  <w:rStyle w:val="a3"/>
                  <w:lang w:val="en-US" w:eastAsia="zh-CN"/>
                </w:rPr>
                <w:t>oreloblenergo</w:t>
              </w:r>
              <w:r>
                <w:rPr>
                  <w:rStyle w:val="a3"/>
                  <w:lang w:eastAsia="zh-CN"/>
                </w:rPr>
                <w:t>.</w:t>
              </w:r>
              <w:proofErr w:type="spellStart"/>
              <w:r>
                <w:rPr>
                  <w:rStyle w:val="a3"/>
                  <w:lang w:val="en-US" w:eastAsia="zh-CN"/>
                </w:rPr>
                <w:t>ru</w:t>
              </w:r>
              <w:proofErr w:type="spellEnd"/>
            </w:hyperlink>
            <w:r w:rsidR="00B9557A" w:rsidRPr="008D56B8">
              <w:rPr>
                <w:snapToGrid w:val="0"/>
                <w:color w:val="000000"/>
              </w:rPr>
              <w:t xml:space="preserve">   </w:t>
            </w:r>
            <w:proofErr w:type="spellStart"/>
            <w:r w:rsidR="00B9557A" w:rsidRPr="008D56B8">
              <w:rPr>
                <w:snapToGrid w:val="0"/>
                <w:color w:val="000000"/>
              </w:rPr>
              <w:t>м.п</w:t>
            </w:r>
            <w:proofErr w:type="spellEnd"/>
            <w:r w:rsidR="00B9557A" w:rsidRPr="008D56B8">
              <w:rPr>
                <w:snapToGrid w:val="0"/>
                <w:color w:val="000000"/>
              </w:rPr>
              <w:t>.</w:t>
            </w:r>
          </w:p>
        </w:tc>
        <w:tc>
          <w:tcPr>
            <w:tcW w:w="472" w:type="dxa"/>
            <w:tcBorders>
              <w:top w:val="nil"/>
              <w:left w:val="nil"/>
              <w:bottom w:val="nil"/>
              <w:right w:val="nil"/>
            </w:tcBorders>
            <w:shd w:val="clear" w:color="auto" w:fill="auto"/>
          </w:tcPr>
          <w:p w:rsidR="00B9557A" w:rsidRPr="008D56B8" w:rsidRDefault="00B9557A" w:rsidP="00B37B15">
            <w:pPr>
              <w:jc w:val="both"/>
            </w:pPr>
          </w:p>
        </w:tc>
        <w:tc>
          <w:tcPr>
            <w:tcW w:w="4773" w:type="dxa"/>
            <w:tcBorders>
              <w:top w:val="nil"/>
              <w:left w:val="nil"/>
              <w:bottom w:val="nil"/>
              <w:right w:val="nil"/>
            </w:tcBorders>
          </w:tcPr>
          <w:p w:rsidR="00B9557A" w:rsidRPr="008D56B8" w:rsidRDefault="00B9557A" w:rsidP="00B37B15">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37B15">
            <w:pPr>
              <w:shd w:val="clear" w:color="auto" w:fill="FFFFFF"/>
              <w:ind w:right="5"/>
              <w:rPr>
                <w:bCs/>
                <w:snapToGrid w:val="0"/>
              </w:rPr>
            </w:pPr>
          </w:p>
          <w:p w:rsidR="00B9557A" w:rsidRDefault="00B9557A" w:rsidP="00B37B15">
            <w:pPr>
              <w:shd w:val="clear" w:color="auto" w:fill="FFFFFF"/>
              <w:ind w:right="5"/>
              <w:rPr>
                <w:bCs/>
                <w:snapToGrid w:val="0"/>
              </w:rPr>
            </w:pPr>
          </w:p>
          <w:p w:rsidR="00A47540"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_________________ /_____________ /</w:t>
            </w: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 xml:space="preserve">«_____» ______________ 2020г.        </w:t>
            </w:r>
          </w:p>
          <w:p w:rsidR="00B9557A" w:rsidRPr="008D56B8" w:rsidRDefault="00B9557A" w:rsidP="00B37B15">
            <w:pPr>
              <w:jc w:val="both"/>
            </w:pPr>
            <w:proofErr w:type="spellStart"/>
            <w:r w:rsidRPr="008D56B8">
              <w:rPr>
                <w:bCs/>
                <w:snapToGrid w:val="0"/>
              </w:rPr>
              <w:t>м.п</w:t>
            </w:r>
            <w:proofErr w:type="spellEnd"/>
            <w:r w:rsidRPr="008D56B8">
              <w:rPr>
                <w:bCs/>
                <w:snapToGrid w:val="0"/>
              </w:rPr>
              <w:t>.</w:t>
            </w:r>
          </w:p>
        </w:tc>
      </w:tr>
    </w:tbl>
    <w:p w:rsidR="004925F0" w:rsidRPr="008D56B8" w:rsidRDefault="004925F0" w:rsidP="004925F0">
      <w:pPr>
        <w:pageBreakBefore/>
        <w:spacing w:line="264" w:lineRule="auto"/>
        <w:jc w:val="right"/>
      </w:pPr>
      <w:r w:rsidRPr="008D56B8">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от «_______» __________ 2020г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1B32DE" w:rsidRDefault="001B32DE" w:rsidP="004925F0">
      <w:pPr>
        <w:spacing w:line="360" w:lineRule="auto"/>
        <w:jc w:val="center"/>
        <w:rPr>
          <w:b/>
        </w:rPr>
      </w:pPr>
    </w:p>
    <w:tbl>
      <w:tblPr>
        <w:tblStyle w:val="af9"/>
        <w:tblW w:w="9606" w:type="dxa"/>
        <w:tblLook w:val="04A0" w:firstRow="1" w:lastRow="0" w:firstColumn="1" w:lastColumn="0" w:noHBand="0" w:noVBand="1"/>
      </w:tblPr>
      <w:tblGrid>
        <w:gridCol w:w="2392"/>
        <w:gridCol w:w="1827"/>
        <w:gridCol w:w="851"/>
        <w:gridCol w:w="2126"/>
        <w:gridCol w:w="2410"/>
      </w:tblGrid>
      <w:tr w:rsidR="001B32DE" w:rsidRPr="000C1FB5" w:rsidTr="00A85BD9">
        <w:tc>
          <w:tcPr>
            <w:tcW w:w="2392" w:type="dxa"/>
            <w:vAlign w:val="center"/>
          </w:tcPr>
          <w:p w:rsidR="001B32DE" w:rsidRPr="000C1FB5" w:rsidRDefault="001B32DE" w:rsidP="00A85BD9">
            <w:pPr>
              <w:jc w:val="center"/>
              <w:rPr>
                <w:color w:val="000000"/>
                <w:sz w:val="28"/>
                <w:szCs w:val="28"/>
              </w:rPr>
            </w:pP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 xml:space="preserve">сечение, </w:t>
            </w:r>
            <w:proofErr w:type="gramStart"/>
            <w:r w:rsidRPr="000C1FB5">
              <w:rPr>
                <w:color w:val="000000"/>
                <w:sz w:val="28"/>
                <w:szCs w:val="28"/>
              </w:rPr>
              <w:t>мм</w:t>
            </w:r>
            <w:proofErr w:type="gramEnd"/>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кол-во</w:t>
            </w:r>
          </w:p>
        </w:tc>
        <w:tc>
          <w:tcPr>
            <w:tcW w:w="2126" w:type="dxa"/>
            <w:vAlign w:val="center"/>
          </w:tcPr>
          <w:p w:rsidR="001B32DE" w:rsidRPr="000C1FB5" w:rsidRDefault="001B32DE" w:rsidP="00A85BD9">
            <w:pPr>
              <w:jc w:val="center"/>
              <w:rPr>
                <w:sz w:val="28"/>
                <w:szCs w:val="28"/>
              </w:rPr>
            </w:pPr>
            <w:r w:rsidRPr="000C1FB5">
              <w:rPr>
                <w:sz w:val="28"/>
                <w:szCs w:val="28"/>
              </w:rPr>
              <w:t>Цена за единицу</w:t>
            </w:r>
            <w:r>
              <w:rPr>
                <w:sz w:val="28"/>
                <w:szCs w:val="28"/>
              </w:rPr>
              <w:t>, руб. коп.</w:t>
            </w:r>
          </w:p>
        </w:tc>
        <w:tc>
          <w:tcPr>
            <w:tcW w:w="2410" w:type="dxa"/>
            <w:vAlign w:val="center"/>
          </w:tcPr>
          <w:p w:rsidR="001B32DE" w:rsidRPr="000C1FB5" w:rsidRDefault="001B32DE" w:rsidP="00A85BD9">
            <w:pPr>
              <w:jc w:val="center"/>
              <w:rPr>
                <w:sz w:val="28"/>
                <w:szCs w:val="28"/>
              </w:rPr>
            </w:pPr>
            <w:r>
              <w:rPr>
                <w:sz w:val="28"/>
                <w:szCs w:val="28"/>
              </w:rPr>
              <w:t>Общая стоимость, в том числе НДС, руб. коп.</w:t>
            </w: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87</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70-120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94</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150-240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98</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соединительная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70</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7196" w:type="dxa"/>
            <w:gridSpan w:val="4"/>
            <w:vAlign w:val="center"/>
          </w:tcPr>
          <w:p w:rsidR="001B32DE" w:rsidRPr="000C1FB5" w:rsidRDefault="001B32DE" w:rsidP="00A85BD9">
            <w:pPr>
              <w:spacing w:line="360" w:lineRule="auto"/>
              <w:jc w:val="right"/>
              <w:rPr>
                <w:sz w:val="28"/>
                <w:szCs w:val="28"/>
              </w:rPr>
            </w:pPr>
            <w:r>
              <w:rPr>
                <w:sz w:val="28"/>
                <w:szCs w:val="28"/>
              </w:rPr>
              <w:t>Итого:</w:t>
            </w:r>
          </w:p>
        </w:tc>
        <w:tc>
          <w:tcPr>
            <w:tcW w:w="2410" w:type="dxa"/>
            <w:vAlign w:val="center"/>
          </w:tcPr>
          <w:p w:rsidR="001B32DE" w:rsidRDefault="001B32DE" w:rsidP="00A85BD9">
            <w:pPr>
              <w:spacing w:line="360" w:lineRule="auto"/>
              <w:jc w:val="center"/>
              <w:rPr>
                <w:sz w:val="28"/>
                <w:szCs w:val="28"/>
              </w:rPr>
            </w:pPr>
          </w:p>
        </w:tc>
      </w:tr>
    </w:tbl>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w:t>
      </w:r>
      <w:r w:rsidR="001B32DE">
        <w:t>г. Орел, пл. Поликарпова, 8</w:t>
      </w:r>
      <w:r w:rsidRPr="007634B8">
        <w:t xml:space="preserve">, контактное лицо </w:t>
      </w:r>
      <w:r w:rsidR="001B32DE">
        <w:t>Неверова Ирина Анатольевна</w:t>
      </w:r>
      <w:r w:rsidRPr="007634B8">
        <w:t xml:space="preserve"> – тел. +7-</w:t>
      </w:r>
      <w:r w:rsidR="001B32DE">
        <w:t>(4862) 54-00-31</w:t>
      </w:r>
      <w:r w:rsidRPr="007634B8">
        <w:t>)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Срок самовывоза – до</w:t>
      </w:r>
      <w:r>
        <w:t xml:space="preserve"> ________________2020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A47540" w:rsidRPr="008D56B8" w:rsidTr="00B37B15">
        <w:trPr>
          <w:trHeight w:val="1977"/>
        </w:trPr>
        <w:tc>
          <w:tcPr>
            <w:tcW w:w="4928" w:type="dxa"/>
            <w:tcBorders>
              <w:top w:val="nil"/>
              <w:left w:val="nil"/>
              <w:bottom w:val="nil"/>
              <w:right w:val="nil"/>
            </w:tcBorders>
            <w:shd w:val="clear" w:color="auto" w:fill="auto"/>
          </w:tcPr>
          <w:p w:rsidR="00A47540" w:rsidRPr="008D56B8" w:rsidRDefault="00A47540" w:rsidP="00B37B15">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 xml:space="preserve"> «_____» ______________ 2020г.</w:t>
            </w:r>
          </w:p>
          <w:p w:rsidR="00A47540" w:rsidRPr="008D56B8" w:rsidRDefault="00A47540" w:rsidP="00B37B15">
            <w:pPr>
              <w:jc w:val="both"/>
            </w:pPr>
            <w:r w:rsidRPr="008D56B8">
              <w:rPr>
                <w:snapToGrid w:val="0"/>
                <w:color w:val="000000"/>
              </w:rPr>
              <w:t xml:space="preserve">   </w:t>
            </w:r>
            <w:proofErr w:type="spellStart"/>
            <w:r w:rsidRPr="008D56B8">
              <w:rPr>
                <w:snapToGrid w:val="0"/>
                <w:color w:val="000000"/>
              </w:rPr>
              <w:t>м.п</w:t>
            </w:r>
            <w:proofErr w:type="spellEnd"/>
            <w:r w:rsidRPr="008D56B8">
              <w:rPr>
                <w:snapToGrid w:val="0"/>
                <w:color w:val="000000"/>
              </w:rPr>
              <w:t>.</w:t>
            </w:r>
          </w:p>
        </w:tc>
        <w:tc>
          <w:tcPr>
            <w:tcW w:w="472" w:type="dxa"/>
            <w:tcBorders>
              <w:top w:val="nil"/>
              <w:left w:val="nil"/>
              <w:bottom w:val="nil"/>
              <w:right w:val="nil"/>
            </w:tcBorders>
            <w:shd w:val="clear" w:color="auto" w:fill="auto"/>
          </w:tcPr>
          <w:p w:rsidR="00A47540" w:rsidRPr="008D56B8" w:rsidRDefault="00A47540" w:rsidP="00B37B15">
            <w:pPr>
              <w:jc w:val="both"/>
            </w:pPr>
          </w:p>
        </w:tc>
        <w:tc>
          <w:tcPr>
            <w:tcW w:w="4773" w:type="dxa"/>
            <w:tcBorders>
              <w:top w:val="nil"/>
              <w:left w:val="nil"/>
              <w:bottom w:val="nil"/>
              <w:right w:val="nil"/>
            </w:tcBorders>
          </w:tcPr>
          <w:p w:rsidR="00A47540" w:rsidRPr="008D56B8" w:rsidRDefault="00A47540" w:rsidP="00B37B15">
            <w:pPr>
              <w:shd w:val="clear" w:color="auto" w:fill="FFFFFF"/>
              <w:tabs>
                <w:tab w:val="center" w:pos="2221"/>
              </w:tabs>
              <w:ind w:right="5"/>
              <w:rPr>
                <w:bCs/>
                <w:snapToGrid w:val="0"/>
              </w:rPr>
            </w:pPr>
            <w:r w:rsidRPr="008D56B8">
              <w:rPr>
                <w:bCs/>
                <w:snapToGrid w:val="0"/>
              </w:rPr>
              <w:tab/>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_________________ /______________ /</w:t>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 xml:space="preserve">«_____» ______________ 2020г.        </w:t>
            </w:r>
          </w:p>
          <w:p w:rsidR="00A47540" w:rsidRPr="008D56B8" w:rsidRDefault="00A47540" w:rsidP="00B37B15">
            <w:pPr>
              <w:jc w:val="both"/>
            </w:pPr>
            <w:proofErr w:type="spellStart"/>
            <w:r w:rsidRPr="008D56B8">
              <w:rPr>
                <w:bCs/>
                <w:snapToGrid w:val="0"/>
              </w:rPr>
              <w:t>м.п</w:t>
            </w:r>
            <w:proofErr w:type="spellEnd"/>
            <w:r w:rsidRPr="008D56B8">
              <w:rPr>
                <w:bCs/>
                <w:snapToGrid w:val="0"/>
              </w:rPr>
              <w:t>.</w:t>
            </w:r>
          </w:p>
        </w:tc>
      </w:tr>
    </w:tbl>
    <w:p w:rsidR="000C1FB5" w:rsidRDefault="000C1FB5" w:rsidP="001B32DE">
      <w:pPr>
        <w:spacing w:line="360" w:lineRule="auto"/>
        <w:jc w:val="center"/>
        <w:rPr>
          <w:b/>
        </w:rPr>
      </w:pPr>
    </w:p>
    <w:sectPr w:rsidR="000C1FB5" w:rsidSect="00B9557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8" w:rsidRDefault="00ED7128" w:rsidP="002F0423">
      <w:r>
        <w:separator/>
      </w:r>
    </w:p>
  </w:endnote>
  <w:endnote w:type="continuationSeparator" w:id="0">
    <w:p w:rsidR="00ED7128" w:rsidRDefault="00ED7128"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8" w:rsidRDefault="00ED7128" w:rsidP="002F0423">
      <w:r>
        <w:separator/>
      </w:r>
    </w:p>
  </w:footnote>
  <w:footnote w:type="continuationSeparator" w:id="0">
    <w:p w:rsidR="00ED7128" w:rsidRDefault="00ED7128" w:rsidP="002F0423">
      <w:r>
        <w:continuationSeparator/>
      </w:r>
    </w:p>
  </w:footnote>
  <w:footnote w:id="1">
    <w:p w:rsidR="00F12581" w:rsidRPr="004C3BF7" w:rsidRDefault="00F12581"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F12581" w:rsidRPr="004C3BF7" w:rsidRDefault="00F12581"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F12581" w:rsidRPr="00E414E2" w:rsidRDefault="00F12581"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F12581" w:rsidRPr="00571E19" w:rsidRDefault="00F12581"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11"/>
  </w:num>
  <w:num w:numId="10">
    <w:abstractNumId w:val="16"/>
  </w:num>
  <w:num w:numId="11">
    <w:abstractNumId w:val="6"/>
  </w:num>
  <w:num w:numId="12">
    <w:abstractNumId w:val="19"/>
  </w:num>
  <w:num w:numId="13">
    <w:abstractNumId w:val="14"/>
  </w:num>
  <w:num w:numId="14">
    <w:abstractNumId w:val="7"/>
  </w:num>
  <w:num w:numId="15">
    <w:abstractNumId w:val="15"/>
  </w:num>
  <w:num w:numId="16">
    <w:abstractNumId w:val="13"/>
  </w:num>
  <w:num w:numId="17">
    <w:abstractNumId w:val="9"/>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43F0"/>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1FB5"/>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2DE"/>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932"/>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950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6A9"/>
    <w:rsid w:val="00560B3D"/>
    <w:rsid w:val="00560B86"/>
    <w:rsid w:val="00561940"/>
    <w:rsid w:val="0056204C"/>
    <w:rsid w:val="00562C7A"/>
    <w:rsid w:val="00562CDE"/>
    <w:rsid w:val="00563094"/>
    <w:rsid w:val="0056357A"/>
    <w:rsid w:val="00564DC9"/>
    <w:rsid w:val="00567091"/>
    <w:rsid w:val="005670F4"/>
    <w:rsid w:val="005672E8"/>
    <w:rsid w:val="00567DB9"/>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87529"/>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477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260"/>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993744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mts@oreloblenergo.ru" TargetMode="External"/><Relationship Id="rId4" Type="http://schemas.microsoft.com/office/2007/relationships/stylesWithEffects" Target="stylesWithEffects.xml"/><Relationship Id="rId9" Type="http://schemas.openxmlformats.org/officeDocument/2006/relationships/hyperlink" Target="mailto:omts@orelob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4EB7-3895-4B0B-A8CB-2AA0245A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7</cp:revision>
  <cp:lastPrinted>2020-10-02T05:38:00Z</cp:lastPrinted>
  <dcterms:created xsi:type="dcterms:W3CDTF">2020-06-25T12:45:00Z</dcterms:created>
  <dcterms:modified xsi:type="dcterms:W3CDTF">2020-10-02T05:44:00Z</dcterms:modified>
</cp:coreProperties>
</file>