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организации, на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выполнения заявителем технических условий в соответствии с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разделом </w:t>
      </w: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IX</w:t>
      </w:r>
      <w:r>
        <w:rPr>
          <w:rFonts w:cs="Times New Roman" w:ascii="Times New Roman" w:hAnsi="Times New Roman"/>
          <w:sz w:val="24"/>
          <w:szCs w:val="24"/>
        </w:rPr>
        <w:t xml:space="preserve"> Правил технологического присоединения, а также в соответствии с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методическими указаниями </w:t>
      </w:r>
      <w:r>
        <w:rPr>
          <w:rFonts w:cs="Times New Roman" w:ascii="Times New Roman" w:hAnsi="Times New Roman"/>
          <w:sz w:val="24"/>
          <w:szCs w:val="24"/>
        </w:rPr>
        <w:t>по определению размера платы за технологическое присоединение к электрическим сетям, утвержденными Федеральной антимонопольной службой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1055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25"/>
        <w:gridCol w:w="4677"/>
        <w:gridCol w:w="1842"/>
        <w:gridCol w:w="1842"/>
        <w:gridCol w:w="2269"/>
      </w:tblGrid>
      <w:tr>
        <w:trPr>
          <w:trHeight w:val="751" w:hRule="atLeast"/>
        </w:trPr>
        <w:tc>
          <w:tcPr>
            <w:tcW w:w="5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ind w:hanging="62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Распределение необходимой валовой выручки </w:t>
            </w:r>
            <w:hyperlink w:anchor="P243">
              <w:r>
                <w:rPr>
                  <w:rStyle w:val="Style17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максимальной мощности (кВт)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Ставки для расчета платы по каждому мероприятию (рублей/кВт) (без учета НДС)</w:t>
            </w:r>
          </w:p>
        </w:tc>
      </w:tr>
      <w:tr>
        <w:trPr>
          <w:trHeight w:val="802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и выдача сетевой организацией технических условий заявителю: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13 232 800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18 920,26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699,4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сетевой организацией выполнения заявителем технических условий: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19 849 200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18 920,26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1 049,10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сетевой организацией мероприятий, связанных со строительством "последней мили":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10 100 915,76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1 980,46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5 100,29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11 860 957,43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5 111,05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2 320,65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11 862 177,34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1 516,74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7 820,84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центров питания и подстанций уровнем напряжения 35 кВ и выше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bookmarkStart w:id="1" w:name="P243"/>
      <w:bookmarkStart w:id="2" w:name="P243"/>
      <w:bookmarkEnd w:id="2"/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</w:r>
    </w:p>
    <w:sectPr>
      <w:type w:val="nextPage"/>
      <w:pgSz w:w="11906" w:h="16838"/>
      <w:pgMar w:left="570" w:right="85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5b82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64b7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ea6d63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ea6d63"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fe1d9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fe1d9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fe1d9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fe1d9d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64b7f"/>
    <w:pPr/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6"/>
    <w:uiPriority w:val="99"/>
    <w:unhideWhenUsed/>
    <w:rsid w:val="00ea6d63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4">
    <w:name w:val="Footer"/>
    <w:basedOn w:val="Normal"/>
    <w:link w:val="a8"/>
    <w:uiPriority w:val="99"/>
    <w:unhideWhenUsed/>
    <w:rsid w:val="00ea6d63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CF4C-50B9-4043-B1B5-8B84C01B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Application>LibreOffice/5.4.4.2$Windows_X86_64 LibreOffice_project/2524958677847fb3bb44820e40380acbe820f960</Application>
  <Pages>1</Pages>
  <Words>211</Words>
  <Characters>1494</Characters>
  <CharactersWithSpaces>1664</CharactersWithSpaces>
  <Paragraphs>41</Paragraphs>
  <Company>Ореоблэнерго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2016-10-19T08:07:00Z</dcterms:created>
  <dc:creator>KDO3</dc:creator>
  <dc:description/>
  <dc:language>ru-RU</dc:language>
  <cp:lastModifiedBy/>
  <cp:lastPrinted>2023-01-16T12:59:00Z</cp:lastPrinted>
  <dcterms:modified xsi:type="dcterms:W3CDTF">2023-01-17T08:28:04Z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Ореоблэнерго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